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u w:val="single"/>
          <w:color w:val="000000"/>
          <w:sz w:val="40"/>
          <w:szCs w:val="40"/>
          <w:w w:val="95"/>
        </w:rPr>
        <w:t xml:space="preserve">기업 투자단계 개요</w:t>
      </w:r>
    </w:p>
    <w:p>
      <w:pPr>
        <w:autoSpaceDE w:val="0"/>
        <w:autoSpaceDN w:val="0"/>
        <w:jc w:val="right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'26. 6. 5 (金)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자본시장 내 위치 및 존재 목적</w:t>
      </w:r>
    </w:p>
    <w:p>
      <w:pPr>
        <w:autoSpaceDE w:val="0"/>
        <w:autoSpaceDN w:val="0"/>
        <w:spacing w:line="240" w:lineRule="auto" w:after="240"/>
        <w:ind w:left="1463" w:hanging="146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위계 : 자본시장 → 사모시장 → 벤처·성장 자본 생태계 → 기업 투자단계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공개 이전(Pre-IPO) 기업에 자본을 공급하는 사모 시장 영역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1" behindDoc="0" locked="0" layoutInCell="1" allowOverlap="1">
            <wp:simplePos x="0" y="0"/>
            <wp:positionH relativeFrom="column">
              <wp:posOffset>4053840</wp:posOffset>
            </wp:positionH>
            <wp:positionV relativeFrom="paragraph">
              <wp:posOffset>-152400</wp:posOffset>
            </wp:positionV>
            <wp:extent cx="2066290" cy="165100"/>
            <wp:effectExtent l="0" t="0" r="0" b="0"/>
            <wp:wrapNone/>
            <wp:docPr id="1001" name="Annotation 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629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Private Capital Market : 비상장 기업 대상 자본 공급 시장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공개 주식시장이 검증 완료 기업 대상이라면, 투자단계는 검증 中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기업과 투자자 사이의 위험-수익 분배 구조</w:t>
      </w:r>
    </w:p>
    <w:p>
      <w:pPr>
        <w:autoSpaceDE w:val="0"/>
        <w:autoSpaceDN w:val="0"/>
        <w:spacing w:line="240" w:lineRule="auto" w:after="240"/>
        <w:ind w:left="2793" w:hanging="279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단계 구분 이유 : 위험 허용도·필요 자본 규모의 단계별 불일치 해소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기능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위험 분산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단계별로 위험 허용도가 다른 투자자군이 참여 → 초기 기업도 자본 접근 가능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가치 검증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각 단계를 통과할수록 사업 모델·시장·실행력이 순차 검증됨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자본 효율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기업은 필요한 만큼만, 적절한 시점에, 적절한 조건으로 조달 가능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단계별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400"/>
        <w:gridCol w:w="1400"/>
        <w:gridCol w:w="2101"/>
        <w:gridCol w:w="2101"/>
        <w:gridCol w:w="2101"/>
      </w:tblGrid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단계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조달 규모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기업 상태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주요 투자자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핵심 질문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Pre-Seed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$0∼$500K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아이디어·MVP. 창업자 2∼3인. 매출 無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FFF·액셀러레이터 (Y Combinator, 스파크랩 등)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 팀이 이 문제를 풀 수 있는가?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Seed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$500K∼$3M
(韓 5∼30억)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MVP 완성. 초기 고객 10∼100명. PMF 탐색 中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씨드 VC·엔젤투자자·일부 CVC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 제품이 진짜 시장이 있는가?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A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$3M∼$15M
(韓 30∼150억)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PMF 검증 완료. ARR $1∼5M. 직원 10∼50명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초기 전문 VC (세쿼이아·알토스·스트롱 등)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비즈니스 모델이 확장 가능한가?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$15M∼$50M
(韓 150∼500억)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확장. ARR $10∼30M. 영업 조직 구축. 국제화 시작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성장 전문 VC·일부 PE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더 빠르게, 더 넓게 성장할 수 있는가?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C+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$50M∼$500M+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$50∼300M. 흑자 전환 근접. 업계 확립 위상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헤지펀드·뮤추얼펀드·PE·국부펀드. Pre-IPO 투자자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IPO·M&amp;A를 준비할 만큼 성숙했는가?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/ LBO &amp; IPO</w:t>
            </w:r>
          </w:p>
        </w:tc>
        <w:tc>
          <w:tcPr>
            <w:tcW w:w="14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수 조 원+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성숙 기업. ARR $300M+. GAAP 흑자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사모펀드(PE) 또는 일반 투자자(IPO 후)</w:t>
            </w:r>
          </w:p>
        </w:tc>
        <w:tc>
          <w:tcPr>
            <w:tcW w:w="21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가치 극대화 후 Exit·공개 상장 가능한가?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1463" w:hanging="146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FFF : Friends, Family, Fools — 창업 초기 지인 투자자 통칭. PMF :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Product-Market Fit, 제품-시장 적합성. Series C+ 단계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밸류에이션 $10억+ 기업을 '유니콘'으로 분류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자본 유형 구분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276"/>
        <w:gridCol w:w="4553"/>
        <w:gridCol w:w="2276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유형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특성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주로 쓰이는 단계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에쿼티 (Equity)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지분 매각. 상환 의무 無. 투자자에게 의결권 부여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Seed∼IPO 전 단계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컨버터블 노트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일정 조건에서 지분으로 전환되는 부채. 빠른 계약 가능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Pre-Seed·Seed 초기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SAFE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Y Combinator 개발 계약 형태. 이자 無. 전환 옵션만 부여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Pre-Seed·Seed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벤처 데트 (Venture Debt)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이자 있는 부채 + 일부 워런트 포함. 지분 희석 최소화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B 이후 흑자 근접 기업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대체재 및 우회 조달 방식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직접 대체재 — VC 없이 기업 성장 자금을 조달하는 방식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방식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특징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한계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Bootstrapping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외부 투자 없이 매출로 성장. 지분 희석 無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성장 속도 제한. 대규모 자본 필요 시장에서 경쟁 불리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정부 지원금·R&amp;D 보조금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상환 의무 無·지분 희석 無 (창업진흥원·기보·중진공 등)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규모 소형. 조건 복잡. 속도 느림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크라우드펀딩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소비자 사전 검증 동시 진행 (와디즈·킥스타터)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규모 한계($1M 이하). B2B 기업에 부적합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은행 대출 / Venture Debt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지분 희석 없이 자본 조달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담보·매출 기반 심사. 초기 기업 접근 어려움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간접 대체 — 투자단계 구분 자체를 우회하는 구조</w:t>
      </w:r>
    </w:p>
    <w:p>
      <w:pPr>
        <w:autoSpaceDE w:val="0"/>
        <w:autoSpaceDN w:val="0"/>
        <w:spacing w:line="240" w:lineRule="auto" w:after="180"/>
        <w:ind w:left="1596" w:hanging="1596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CVC : 삼성벤처투자·카카오벤처스 등 대기업 직접 투자 — 재무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2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-152400</wp:posOffset>
            </wp:positionV>
            <wp:extent cx="3124835" cy="165100"/>
            <wp:effectExtent l="0" t="0" r="0" b="0"/>
            <wp:wrapNone/>
            <wp:docPr id="1002" name="Annotation 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2483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CVC : Corporate Venture Capital, 기업 주도 벤처캐피털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수익보다 사업 시너지 목적</w:t>
      </w:r>
    </w:p>
    <w:p>
      <w:pPr>
        <w:autoSpaceDE w:val="0"/>
        <w:autoSpaceDN w:val="0"/>
        <w:spacing w:line="240" w:lineRule="auto" w:after="180"/>
        <w:ind w:left="4256" w:hanging="4256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Revenue-Based Financing : 미래 매출 일부를 담보로 자금 조달 —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           SaaS 기업에서 증가 中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투자단계 구성 요소 — 4개 핵심 축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축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구성 요소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투자 주체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개인(Angel·FFF) → 씨드 VC → 성장 VC → CVC → PE → 공공(정부·국부펀드·연기금)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② 자본 유형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에쿼티 / 컨버터블 노트 / SAFE / 벤처 데트 — 단계가 올라갈수록 에쿼티 비중 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③ 가치 측정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초기 : 팀·기술·시장 크기(정성) → 중기 : ARR·NRR·CAC/LTV → 후기 : EV/Revenue·EV/EBITDA·EV/FCF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④ 투자 조건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프리머니/포스트머니 밸류에이션 / 청산우선권 / 희석방지조항 / 이사회 구성 및 의결권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실제 사례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Airbnb — 단계별 투자 여정의 교과서적 사례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138"/>
        <w:gridCol w:w="1138"/>
        <w:gridCol w:w="2276"/>
        <w:gridCol w:w="4553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연도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단계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규모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핵심 이정표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2008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Seed (YC)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$20K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서비스 개념 검증. Y Combinator 1기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2009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A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$600K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PMF 확인. 세쿼이아 주도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2010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B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$7.2M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국제 확장 자금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2011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C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$112M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급성장, 유니콘 진입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2020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IPO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시가총액 $100B+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나스닥 상장 — 각 단계 통과가 다음 진입 조건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카카오 — CVC를 활용한 단계별 내재화 전략 (한국 사례)</w:t>
      </w:r>
    </w:p>
    <w:p>
      <w:pPr>
        <w:autoSpaceDE w:val="0"/>
        <w:autoSpaceDN w:val="0"/>
        <w:spacing w:line="240" w:lineRule="auto" w:after="180"/>
        <w:ind w:left="2793" w:hanging="279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카카오벤처스 : Seed∼Series A 단계 투자 → 카카오 본사 : Series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B∼C 전략 투자·M&amp;A</w:t>
      </w:r>
    </w:p>
    <w:p>
      <w:pPr>
        <w:autoSpaceDE w:val="0"/>
        <w:autoSpaceDN w:val="0"/>
        <w:spacing w:line="240" w:lineRule="auto" w:after="240"/>
        <w:ind w:left="1729" w:hanging="1729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결과 : 카카오페이·카카오모빌리티 등 성장 후 별도 상장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Coupa·Thoma Bravo — IPO 이후 PE 재개입의 역방향 사례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3"/>
        </w:rPr>
        <w:t xml:space="preserve">Series A∼E 거쳐 2016年 IPO → 2023年 TB가 $8.0B LBO 인수·상장폐지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4"/>
        </w:rPr>
        <w:t xml:space="preserve">고금리 환경에서 증가하는 '상장 후 PE 재인수' 패턴의 최근 대표 사례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시사점 및 활용 관점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투자자·기업 모두 자신이 감당 가능한 위험 크기에 맞는 단계에 참여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— 위험 허용도에 따른 자본 분업 구조</w:t>
      </w:r>
    </w:p>
    <w:p>
      <w:pPr>
        <w:autoSpaceDE w:val="0"/>
        <w:autoSpaceDN w:val="0"/>
        <w:spacing w:line="240" w:lineRule="auto" w:after="180"/>
        <w:ind w:left="3059" w:hanging="305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M&amp;A 타겟 발굴 : Series B 후 3∼5년 공백 기업이 기술 검증 완료 +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                  밸류에이션 프리미엄 미형성 → 인수자 협상력 최대</w:t>
      </w:r>
    </w:p>
    <w:p>
      <w:pPr>
        <w:autoSpaceDE w:val="0"/>
        <w:autoSpaceDN w:val="0"/>
        <w:spacing w:line="240" w:lineRule="auto" w:after="180"/>
        <w:ind w:left="3192" w:hanging="3192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1"/>
        </w:rPr>
        <w:t xml:space="preserve">투자 가치 평가 : 초기는 팀·시장 크기 정성 평가, 중기는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1"/>
        </w:rPr>
        <w:t xml:space="preserve">                         ARR·NRR·성장률, 후기는 재무 배수(EV/FCF 등) 중심</w:t>
      </w:r>
    </w:p>
    <w:p>
      <w:pPr>
        <w:autoSpaceDE w:val="0"/>
        <w:autoSpaceDN w:val="0"/>
        <w:spacing w:line="240" w:lineRule="auto" w:after="180"/>
        <w:ind w:left="4389" w:hanging="438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0"/>
        </w:rPr>
        <w:t xml:space="preserve">파트너십 → 내재화 전략 : 파트너십·PoC 선행 검증 후 정체기 기업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0"/>
        </w:rPr>
        <w:t xml:space="preserve">                                   인수 — 통합 리스크·프리미엄 동시 최소화</w:t>
      </w:r>
    </w:p>
    <w:p>
      <w:pPr>
        <w:autoSpaceDE w:val="0"/>
        <w:autoSpaceDN w:val="0"/>
        <w:spacing w:line="240" w:lineRule="auto" w:after="180"/>
        <w:ind w:left="1596" w:hanging="1596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비유 : Pre-Seed=씨앗 심기 / Series A=싹 확인 / Series B·C=나무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키우기 / IPO=공원 이식. 단계마다 물주는 사람이 다르듯, 각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투자자는 자신의 위험 허용 범위 내에서만 참여</w:t>
      </w:r>
    </w:p>
    <w:p>
      <w:pPr>
        <w:autoSpaceDE w:val="0"/>
        <w:autoSpaceDN w:val="0"/>
        <w:jc w:val="right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- 이  상 -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851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- </w:t>
    </w:r>
    <w:fldSimple w:instr="PAGE"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>1</w:t>
      </w:r>
    </w:fldSimple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바탕체" w:eastAsia="바탕체" w:hAnsi="바탕체" w:cs="바탕체"/>
        <w:sz w:val="28"/>
        <w:szCs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