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jc w:val="center"/>
        <w:spacing w:line="240" w:lineRule="auto" w:after="240"/>
      </w:pPr>
      <w:r>
        <w:rPr>
          <w:rFonts w:ascii="바탕체" w:eastAsia="바탕체" w:hAnsi="바탕체" w:cs="바탕체"/>
          <w:b/>
          <w:bCs/>
          <w:u w:val="single"/>
          <w:color w:val="000000"/>
          <w:sz w:val="40"/>
          <w:szCs w:val="40"/>
          <w:w w:val="95"/>
        </w:rPr>
        <w:t xml:space="preserve">Coupa의 Rossum 인수 분석 보고서</w:t>
      </w:r>
    </w:p>
    <w:p>
      <w:pPr>
        <w:autoSpaceDE w:val="0"/>
        <w:autoSpaceDN w:val="0"/>
        <w:jc w:val="right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'26. 6. 4 (木)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30"/>
          <w:szCs w:val="30"/>
          <w:w w:val="95"/>
        </w:rPr>
        <w:t xml:space="preserve">1. Coupa 개요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기본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공식 명칭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Software Incorporated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2006年 / 美 캘리포니아 San Mateo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대표이사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Leagh Turner (CEO, 2022年 취임 — Thoma Bravo 인수 후 경영 총괄)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직원 수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약 3,500명+ (2025年 기준)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고객 규모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구매 기업 3,500개社 / 공급업체 네트워크 1,000만 개社 — 누적 거래 $10조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상장 이력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2016年 나스닥 상장(COUP) → 2023年 2月 Thoma Bravo $8.0B 인수·상장폐지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소유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Thoma Bravo(PE) 보유 비상장사 / ADIA 소수 지분 공동 참여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기업 인수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2025∼2026年 tuck-in M&amp;A 4건 단행 (Cirtuo·Scoutbee·Rossum·Tonkean)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사업 영역 및 업계 위상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BSM 단일 클라우드 플랫폼 — 조달·인보이스·경비·계약 전 영역 통합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1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-152400</wp:posOffset>
            </wp:positionV>
            <wp:extent cx="1929130" cy="165100"/>
            <wp:effectExtent l="0" t="0" r="0" b="0"/>
            <wp:wrapNone/>
            <wp:docPr id="1001" name="Annotation 10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2913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BSM : Business Spend Management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S2P 플랫폼으로 업계 분류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2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-152400</wp:posOffset>
            </wp:positionV>
            <wp:extent cx="2904490" cy="165100"/>
            <wp:effectExtent l="0" t="0" r="0" b="0"/>
            <wp:wrapNone/>
            <wp:docPr id="1002" name="Annotation 10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449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S2P : Source-to-Pay, 전략 구매∼대금 지급 전 과정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ARR $1B 돌파 (2025年) — 클라우드 조달 기업 최초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3" behindDoc="0" locked="0" layoutInCell="1" allowOverlap="1">
            <wp:simplePos x="0" y="0"/>
            <wp:positionH relativeFrom="column">
              <wp:posOffset>337820</wp:posOffset>
            </wp:positionH>
            <wp:positionV relativeFrom="paragraph">
              <wp:posOffset>-152400</wp:posOffset>
            </wp:positionV>
            <wp:extent cx="1324610" cy="165100"/>
            <wp:effectExtent l="0" t="0" r="0" b="0"/>
            <wp:wrapNone/>
            <wp:docPr id="1003" name="Annotation 10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461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ARR : 연간 반복 매출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3325" w:hanging="332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Navi AI 에이전트 : $10조 지출 데이터 기반 조달 AI 차별화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핵심 경쟁력 3가지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① $10조 지출 데이터 독점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② 구매자-공급업체 양방향 네트워크 (공급업체 1,000만 개社)</w:t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③ TB 인수 후 GAAP 흑자 전환 달성 (2025年)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경쟁자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276"/>
        <w:gridCol w:w="1138"/>
        <w:gridCol w:w="5691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경쟁사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본거지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포지션 및 Coupa 대비 특성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Ariba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독일 (SAP SE)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글로벌 최대 시장 점유율. SAP ERP 고착력 — Coupa 최대 경쟁자. AI 전환 지연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Oracle Procurement Cloud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미국 (Oracle)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Oracle ERP 연동 구매 모듈. 대형 제조·공공 강세. ERP 번들로 전환 유인 低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Ivalua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프랑스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유럽 기반 전략 조달 플랫폼. 직접구매 특화. 커스터마이징 유연성 강점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Jaggaer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미국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공공·연구기관·제조업 특화. R&amp;D 조달 강점. Coupa 대비 소형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ServiceNow · Zip (신흥)</w:t>
            </w:r>
          </w:p>
        </w:tc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미국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구매 인테이크에서 경합 확대. AI 네이티브 설계로 S2P 시장 잠식 시도 中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제품 포트폴리오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제품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기능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Procurement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구매 요청·승인·발주 자동화. 카탈로그·계약 연동 관리. S2P 핵심 구매 엔진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Invoicing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인보이스 수신·3-way 매칭·승인·지불 자동화. Rossum T-LLM 통합 진행 中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Sourcing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공급업체 입찰(RFx)·평가·선정·계약 체결 플랫폼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Contracts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CLM — 계약 수명주기 관리·조건 이행 모니터링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Expense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임직원 경비 정산·컴플라이언스·카드 통합 자동화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Supply Chain Design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공급망 시나리오 모델링·리스크 시뮬레이션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Navi (AI 에이전트)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$10조 지출 데이터 기반 — 자연어 질의·이상 탐지·절감 추천. 4건 인수 기술 연결 AI 허브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4개사(Cirtuo·Scoutbee·Rossum·Tonkean)는 위 제품군에 기능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레이어로 순차 통합 中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재무 성과 — TB 인수 전후 6년</w:t>
      </w:r>
    </w:p>
    <w:p>
      <w:pPr>
        <w:autoSpaceDE w:val="0"/>
        <w:autoSpaceDN w:val="0"/>
        <w:keepNext/>
        <w:jc w:val="center"/>
        <w:spacing w:line="240" w:lineRule="auto" w:after="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&lt; Coupa 연간 재무 성과 &gt;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012"/>
        <w:gridCol w:w="1012"/>
        <w:gridCol w:w="1012"/>
        <w:gridCol w:w="1012"/>
        <w:gridCol w:w="1012"/>
        <w:gridCol w:w="1012"/>
        <w:gridCol w:w="1012"/>
        <w:gridCol w:w="1011"/>
        <w:gridCol w:w="1011"/>
      </w:tblGrid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연도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매출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GAAP 영업손익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FCF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FCF 마진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FY2020 (Jan 2020)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$389.7M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▼ -$73M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▲ +$56M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14%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FY2021 (Jan 2021)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$541.6M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▼ -$167M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▲ +$114M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21%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FY2022 (Jan 2022)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$725.3M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▼ -$244M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▲ +$156M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22%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5060" w:type="dxa"/>
            <w:gridSpan w:val="5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▲ Thoma Bravo $8.0B PE 인수 · 2023年 2月 상장폐지 ▼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2023 (비상장, 추정)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~$870∼900M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▲ +$34M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~$150∼180M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~17∼20%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2024 (비상장, 추정)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~$1.05∼1.10B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▲ ~+$50∼60M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추정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—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  <w:tr>
        <w:trPr>
          <w:cantSplit/>
        </w:trPr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2025 (비상장, 추정)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~$1.21B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▲ +$81M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추정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~17∼22%</w:t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  <w:tc>
          <w:tcPr>
            <w:tcW w:w="10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/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FY2020∼FY2022 SEC 공시(Form 10-K) 확정치. 2023∼2025年 비상장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전환으로 미공개 — 외부 추정치 종합</w:t>
      </w:r>
    </w:p>
    <w:p>
      <w:pPr>
        <w:autoSpaceDE w:val="0"/>
        <w:autoSpaceDN w:val="0"/>
        <w:spacing w:line="240" w:lineRule="auto" w:after="180"/>
        <w:ind w:left="2793" w:hanging="279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GAAP 영업손익 : SBC·무형자산 상각 등 비현금 비용 포함.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FCF(잉여현금흐름)와 괴리 발생 → GAAP 적자 ≠ 사업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부실</w:t>
      </w:r>
    </w:p>
    <w:p>
      <w:pPr>
        <w:autoSpaceDE w:val="0"/>
        <w:autoSpaceDN w:val="0"/>
        <w:spacing w:line="240" w:lineRule="auto" w:after="240"/>
        <w:ind w:left="2926" w:hanging="2926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TB의 $8.0B 인수 : GAAP -$244M이지만 FCF +$156M인 사업을 인수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4" behindDoc="0" locked="0" layoutInCell="1" allowOverlap="1">
            <wp:simplePos x="0" y="0"/>
            <wp:positionH relativeFrom="column">
              <wp:posOffset>3378200</wp:posOffset>
            </wp:positionH>
            <wp:positionV relativeFrom="paragraph">
              <wp:posOffset>-152400</wp:posOffset>
            </wp:positionV>
            <wp:extent cx="891540" cy="165100"/>
            <wp:effectExtent l="0" t="0" r="0" b="0"/>
            <wp:wrapNone/>
            <wp:docPr id="1004" name="Annotation 10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154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EV/FCF ≈ 51×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18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GAAP 적자 원인 = SBC·상각 등 비현금 비용 — 인수 후 삭감으로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즉시 흑자 전환</w:t>
      </w:r>
    </w:p>
    <w:p>
      <w:pPr>
        <w:autoSpaceDE w:val="0"/>
        <w:autoSpaceDN w:val="0"/>
        <w:spacing w:line="240" w:lineRule="auto" w:after="180"/>
        <w:ind w:left="931" w:hanging="931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1"/>
        </w:rPr>
        <w:t xml:space="preserve">SaaS 기업 가치 평가 시 GAAP 이익 외 FCF·NRR·성장률 병행 검토 필요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30"/>
          <w:szCs w:val="30"/>
          <w:w w:val="95"/>
        </w:rPr>
        <w:t xml:space="preserve">2. Coupa의 Rossum 인수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인수 배경 및 목적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2026.05.12 Coupa Inspire 2026(라스베이거스) 공식 발표</w:t>
      </w:r>
    </w:p>
    <w:p>
      <w:pPr>
        <w:autoSpaceDE w:val="0"/>
        <w:autoSpaceDN w:val="0"/>
        <w:spacing w:line="240" w:lineRule="auto" w:after="240"/>
        <w:ind w:left="1729" w:hanging="1729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: 2017年 체코 설립, IDP 전문 스타트업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5" behindDoc="0" locked="0" layoutInCell="1" allowOverlap="1">
            <wp:simplePos x="0" y="0"/>
            <wp:positionH relativeFrom="column">
              <wp:posOffset>2618105</wp:posOffset>
            </wp:positionH>
            <wp:positionV relativeFrom="paragraph">
              <wp:posOffset>-152400</wp:posOffset>
            </wp:positionV>
            <wp:extent cx="3180715" cy="165100"/>
            <wp:effectExtent l="0" t="0" r="0" b="0"/>
            <wp:wrapNone/>
            <wp:docPr id="1005" name="Annotation 10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0715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IDP : Intelligent Document Processing, 지능형 문서처리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T-LLM 「Rossum Aurora」 — 인보이스·PO 비정형 문서 AI 자동 판독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6" behindDoc="0" locked="0" layoutInCell="1" allowOverlap="1">
            <wp:simplePos x="0" y="0"/>
            <wp:positionH relativeFrom="column">
              <wp:posOffset>506730</wp:posOffset>
            </wp:positionH>
            <wp:positionV relativeFrom="paragraph">
              <wp:posOffset>-152400</wp:posOffset>
            </wp:positionV>
            <wp:extent cx="2905760" cy="165100"/>
            <wp:effectExtent l="0" t="0" r="0" b="0"/>
            <wp:wrapNone/>
            <wp:docPr id="1006" name="Annotation 10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576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T-LLM : Transactional LLM, 거래 특화 대형언어모델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누적 $104M 조달 (Series A, General Catalyst 주도, 2021年)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1"/>
        </w:rPr>
        <w:t xml:space="preserve">2024年 Coupa-Rossum 파트너십 체결 → 2026年 인수 내재화 (2단계 접근)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 목적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① 인보이스·PO 문서 처리 기능 완전 내재화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② Rossum 1,100만 건 학습 데이터 + Coupa $10조 데이터셋 결합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③ SAP Ariba·Oracle 대비 AI 문서처리 역량 선점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"Rossum T-LLM과 Coupa 데이터셋 결합으로 향후 5년간 고객 $3,000억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절감 기여 확신" — Leagh Turner, CEO (2026.05.12)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Coupa 사업 전략 — 4단계 진화</w:t>
      </w:r>
    </w:p>
    <w:p>
      <w:pPr>
        <w:autoSpaceDE w:val="0"/>
        <w:autoSpaceDN w:val="0"/>
        <w:spacing w:line="240" w:lineRule="auto" w:after="240"/>
        <w:ind w:left="2394" w:hanging="2394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인수 : TB 인수 후 체계적 4단계 전략 진화의 3단계에 해당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910"/>
        <w:gridCol w:w="1821"/>
        <w:gridCol w:w="3642"/>
        <w:gridCol w:w="2731"/>
      </w:tblGrid>
      <w:tr>
        <w:trPr>
          <w:cantSplit/>
        </w:trPr>
        <w:tc>
          <w:tcPr>
            <w:tcW w:w="9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단계</w:t>
            </w:r>
          </w:p>
        </w:tc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시기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핵심 행동</w:t>
            </w:r>
          </w:p>
        </w:tc>
        <w:tc>
          <w:tcPr>
            <w:tcW w:w="27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목적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1단계</w:t>
            </w:r>
          </w:p>
        </w:tc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2023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인력 15% 감축, SBC 삭감, S&amp;M 합리화 즉각 단행</w:t>
            </w:r>
          </w:p>
        </w:tc>
        <w:tc>
          <w:tcPr>
            <w:tcW w:w="27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연 이자 ~$312M 충당, GAAP 흑자 기반 마련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2단계</w:t>
            </w:r>
          </w:p>
        </w:tc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2023∼2025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흑자 전환 달성 (+$34M → +$81M)</w:t>
            </w:r>
          </w:p>
        </w:tc>
        <w:tc>
          <w:tcPr>
            <w:tcW w:w="27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M&amp;A 투자 여력(성장 레버) 확보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3단계</w:t>
            </w:r>
          </w:p>
        </w:tc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2025∼2026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S2P 기능 공백 4개 영역 AI 네이티브 기업 tuck-in 4건 연속 인수</w:t>
            </w:r>
          </w:p>
        </w:tc>
        <w:tc>
          <w:tcPr>
            <w:tcW w:w="27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'Autonomous Spend Management' 완성</w:t>
            </w:r>
          </w:p>
        </w:tc>
      </w:tr>
      <w:tr>
        <w:trPr>
          <w:cantSplit/>
        </w:trPr>
        <w:tc>
          <w:tcPr>
            <w:tcW w:w="91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4단계 (목표)</w:t>
            </w:r>
          </w:p>
        </w:tc>
        <w:tc>
          <w:tcPr>
            <w:tcW w:w="182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2026∼</w:t>
            </w:r>
          </w:p>
        </w:tc>
        <w:tc>
          <w:tcPr>
            <w:tcW w:w="3642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4레이어 에이전틱 스택 완성, Coupa Compose·Navi Agent Studio 상용화</w:t>
            </w:r>
          </w:p>
        </w:tc>
        <w:tc>
          <w:tcPr>
            <w:tcW w:w="273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TB Exit 前 플랫폼 가치 극대화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TB는 통상 PE 인수 후 4∼7年 내 Exit(재매각 or IPO) 목표 — 4건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인수는 Exit 시점 밸류에이션 극대화 포석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인수 구조 및 자금 조달</w:t>
      </w:r>
    </w:p>
    <w:p>
      <w:pPr>
        <w:autoSpaceDE w:val="0"/>
        <w:autoSpaceDN w:val="0"/>
        <w:spacing w:line="240" w:lineRule="auto" w:after="240"/>
        <w:ind w:left="2128" w:hanging="212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4"/>
        </w:rPr>
        <w:t xml:space="preserve">인수 유형 : tuck-in — 플랫폼 기능 공백 해소 목적 소·중형 전략 인수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7" behindDoc="0" locked="0" layoutInCell="1" allowOverlap="1">
            <wp:simplePos x="0" y="0"/>
            <wp:positionH relativeFrom="column">
              <wp:posOffset>1341120</wp:posOffset>
            </wp:positionH>
            <wp:positionV relativeFrom="paragraph">
              <wp:posOffset>-152400</wp:posOffset>
            </wp:positionV>
            <wp:extent cx="2032000" cy="165100"/>
            <wp:effectExtent l="0" t="0" r="0" b="0"/>
            <wp:wrapNone/>
            <wp:docPr id="1007" name="Annotation 10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200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tuck-in : 기능 보완형 소규모 인수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PE LBO와 달리 이자 부담 없이 플랫폼 통합에 집중 가능</w:t>
      </w:r>
    </w:p>
    <w:p>
      <w:pPr>
        <w:autoSpaceDE w:val="0"/>
        <w:autoSpaceDN w:val="0"/>
        <w:spacing w:line="20" w:lineRule="exact" w:before="0" w:after="0"/>
      </w:pPr>
      <w:r>
        <w:drawing xmlns:a="http://schemas.openxmlformats.org/drawingml/2006/main">
          <wp:anchor distT="0" distB="0" distL="0" distR="0" simplePos="0" relativeHeight="251660008" behindDoc="0" locked="0" layoutInCell="1" allowOverlap="1">
            <wp:simplePos x="0" y="0"/>
            <wp:positionH relativeFrom="column">
              <wp:posOffset>760095</wp:posOffset>
            </wp:positionH>
            <wp:positionV relativeFrom="paragraph">
              <wp:posOffset>-152400</wp:posOffset>
            </wp:positionV>
            <wp:extent cx="3389630" cy="165100"/>
            <wp:effectExtent l="0" t="0" r="0" b="0"/>
            <wp:wrapNone/>
            <wp:docPr id="1008" name="Annotation 10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8963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autoSpaceDE w:val="0"/>
                          <w:autoSpaceDN w:val="0"/>
                        </w:pPr>
                        <w:pPr>
                          <w:autoSpaceDE w:val="0"/>
                          <w:autoSpaceDN w:val="0"/>
                          <w:spacing before="0" after="0" line="200" lineRule="exact"/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</w:pPr>
                        <w:r>
                          <w:rPr>
                            <w:rFonts w:ascii="바탕체" w:eastAsia="바탕체" w:hAnsi="바탕체" w:cs="바탕체"/>
                            <w:color w:val="0000FF"/>
                            <w:sz w:val="18"/>
                            <w:szCs w:val="18"/>
                            <w:w w:val="95"/>
                          </w:rPr>
                          <w:t xml:space="preserve">* LBO : 레버리지 차입매수 — 부채 기반, 금리·경기 변동 취약</w:t>
                        </w:r>
                      </w:p>
                    </w:txbxContent>
                  </wps:txbx>
                  <wps:bodyPr rot="0" spcFirstLastPara="0" vertOverflow="overflow" horzOverflow="overflow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인수가 미공개 (공식 발표 어디에도 금액 未기재)</w:t>
      </w:r>
    </w:p>
    <w:p>
      <w:pPr>
        <w:autoSpaceDE w:val="0"/>
        <w:autoSpaceDN w:val="0"/>
        <w:spacing w:line="240" w:lineRule="auto" w:after="240"/>
        <w:ind w:left="2128" w:hanging="212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자금 조달 : FCF 잉여분(연 ~$150M+) 재투자 및/또는 PE 추가 차입 추정</w:t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 목적이 재무 차익이 아닌 사업 역량 확보인 경우 tuck-in 구조가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리스크 대비 효과 면에서 유리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4건 tuck-in 인수 현황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758"/>
        <w:gridCol w:w="1517"/>
        <w:gridCol w:w="2276"/>
        <w:gridCol w:w="2276"/>
        <w:gridCol w:w="758"/>
        <w:gridCol w:w="1517"/>
      </w:tblGrid>
      <w:tr>
        <w:trPr>
          <w:cantSplit/>
        </w:trPr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기업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인수일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보완 기능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투자 단계</w:t>
            </w:r>
          </w:p>
        </w:tc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누적 펀딩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인수 금액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Cirtuo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2025.05.13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카테고리 관리 AI (크로아티아)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Bootstrap 17年, VC 無</w:t>
            </w:r>
          </w:p>
        </w:tc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—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미공개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Scoutbee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2025.10.06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공급업체 탐색·리스크 AI (독일)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 후 5년 공백</w:t>
            </w:r>
          </w:p>
        </w:tc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$76M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미공개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Rossum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2026.05.12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문서처리 IDP (체코)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A 후 3년 (고성장 中)</w:t>
            </w:r>
          </w:p>
        </w:tc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$104M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미공개</w:t>
            </w:r>
          </w:p>
        </w:tc>
      </w:tr>
      <w:tr>
        <w:trPr>
          <w:cantSplit/>
        </w:trPr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Tonkean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2026.05.21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에이전틱 인테이크·오케스트레이션 (미국)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 후 5년 공백</w:t>
            </w:r>
          </w:p>
        </w:tc>
        <w:tc>
          <w:tcPr>
            <w:tcW w:w="75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$83M</w:t>
            </w:r>
          </w:p>
        </w:tc>
        <w:tc>
          <w:tcPr>
            <w:tcW w:w="1517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"수억 달러" 추정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3325" w:hanging="332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Scoutbee·Tonkean : Series B 후 5년 추가 라운드 미달성 → M&amp;A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           Exit이 사실상 유일한 회수 경로</w:t>
      </w:r>
    </w:p>
    <w:p>
      <w:pPr>
        <w:autoSpaceDE w:val="0"/>
        <w:autoSpaceDN w:val="0"/>
        <w:spacing w:line="240" w:lineRule="auto" w:after="180"/>
        <w:ind w:left="1862" w:hanging="186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Rossum : 4건 중 유일하게 고성장(연평균 +37%, 2024年 매출 $44.9M)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         진행 중 조기 내재화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인수 패턴 분석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패턴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 및 해석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성장 정체기 기업 선점
(Series B 후 5년 공백)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Scoutbee·Tonkean : 기술·제품 검증 완료 + 밸류에이션 프리미엄 미형성 + 창업자·VC Exit 유인 극대 → 인수자 협상력이 최대로 높아지는 시점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② 파트너십 선행 → 내재화
(2단계 접근)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Coupa-Rossum 2024年 파트너십 → 2026年 인수. 기술 적합성·고객 반응·운영 연동 가능성 검증 후 결정 — 불확실성·통합 마찰 비용 절감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③ 예외적 조기 인수
(Rossum — 고성장 中)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고성장 진행 中 조기 내재화 — SAP Ariba·ServiceNow 선점 前 차단. AI 전환 핵심 기술은 성장 확인 순간 밸류에이션 프리미엄 형성 前 선점 경쟁 시작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인수 기대 효과 — 사업·상품·기술 관점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138"/>
        <w:gridCol w:w="2276"/>
        <w:gridCol w:w="5691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관점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고객 가치 창출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인보이스 처리 자동화 → AP 팀 업무량 90%+ 절감. '5년간 고객 $3,000억 절감' 목표의 핵심 기반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경쟁 방어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Ariba·ServiceNow가 동일 IDP 기술 확보 前 선점 — 조달 AI 시장 기술 우위 강화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상품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Invoicing 강화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 T-LLM 통합 → 비정형 인보이스·PO·계약서 자동 판독. 3-way 매칭 오류율 대폭 감소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상품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스택 완성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[전략] Cirtuo → [탐색] Scoutbee → [문서] Rossum → [실행] Tonkean → [AI허브] Navi AI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기술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데이터 자산 결합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 1,100만 건 실거래 데이터 + Coupa $10조 데이터셋 → Navi AI 예측·이상 탐지 고도화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기술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내성 확보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Discriminative Decoder — 할루시네이션 차단, 276개 언어 지원. 범용 LLM 대체 불가 독점 기술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기술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대체 불가성 검증</w:t>
            </w:r>
          </w:p>
        </w:tc>
        <w:tc>
          <w:tcPr>
            <w:tcW w:w="569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'범용 AI 대체형' vs '범용 AI 강화형' 분리 — Rossum은 후자. 인수 검토 시 AI 대체 가능성이 핵심 체크포인트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30"/>
          <w:szCs w:val="30"/>
          <w:w w:val="95"/>
        </w:rPr>
        <w:t xml:space="preserve">3. 시사점 — 당사 투자·M&amp;A 활용 관점의 함의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활용 관점별 함의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M&amp;A 타겟 스크리닝 기준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마지막 펀딩 후 3년+ 추가 라운드 미유치 ② ARR $10∼100M 기술 검증 완료 기업 ③ 당사 포트폴리오와 기능 시너지 명확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파트너십 단계 활용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M&amp;A 前 파트너십·PoC 선행 → 기술·문화 통합 리스크 저비용 검증. 현 당사 SaaS 파트너 중 내재화 후보 사전 식별 고려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후속 모니터링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Rossum·Tonkean 통합 성과(T-LLM + $10조 결합, 에이전틱 스택 상용화)·TB Exit 시나리오 지속 추적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기술 M&amp;A 3대 검증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도메인 특화 독점 데이터 보유 여부 ② 범용 LLM 대체 불가 기술 모트 ③ 주요 ERP·플랫폼 깊은 연동(컴플라이언스·보안 포함)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종합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 Rossum 인수 — 3요소 복합 활용 사례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① 흑자 전환 후 FCF를 M&amp;A 성장 레버로 전환하는 PE 플레이북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② 파트너십 검증 후 내재화하는 2단계 접근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③ 성장 정체기 스타트업의 기술·협상 구조 활용</w:t>
      </w:r>
    </w:p>
    <w:p>
      <w:pPr>
        <w:autoSpaceDE w:val="0"/>
        <w:autoSpaceDN w:val="0"/>
        <w:spacing w:line="240" w:lineRule="auto" w:after="180"/>
        <w:ind w:left="3192" w:hanging="3192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당사 적용 논리 : '기능 공백 블록 정의 → 파트너십 선행 → 타이밍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                    포착 후 내재화'</w:t>
      </w:r>
    </w:p>
    <w:p>
      <w:pPr>
        <w:autoSpaceDE w:val="0"/>
        <w:autoSpaceDN w:val="0"/>
        <w:jc w:val="right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- 이  상 -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#별첨1. Thoma Bravo의 Coupa 인수 사례 분석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Thoma Bravo 개요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1980年 / 美 샌프란시스코·마이애미 (Carl Thoma·Orlando Bravo 공동 설립)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AUM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$160B+ (2024年) — 소프트웨어·사이버보안 분야 세계 최대 PE 중 하나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투자 전략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'Buy-Improve-Exit' — 비효율 SaaS 인수 후 비용 최적화 → GAAP 흑자 → 5∼7年 내 재매각/IPO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펀드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Flagship(대형)·Discover(중형)·Explore(소형) 3개 펀드 병행. Coupa = Flagship 딜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주요 포트폴리오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Proofpoint, Barracuda Networks, SolarWinds, SailPoint 등 90개+ 소프트웨어 기업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TB의 Coupa 인수 구조 및 논리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발표 / 완료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2022.12 합의 발표 → 2023.02 완료 (규제 심사·주주 승인 포함)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인수가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$8.0B (전액 현금, 주당 $81 — 나스닥 종가 대비 약 77% 프리미엄)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당시 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매출 $725M, GAAP 손실 -$244M, FCF +$156M (EV/Sales ≈11×, EV/FCF ≈51×)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LBO — TB 에쿼티 + 부채 혼합. ADIA 소수 지분 공동 참여. 추정 레버리지 4∼5× EBITDA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핵심 논리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적자 ≠ 부실. FCF +$156M + ARR 고성장 → 비용 최적화로 GAAP 흑자·ARR $1B 달성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인수 후 경영 개선 및 성과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138"/>
        <w:gridCol w:w="4553"/>
        <w:gridCol w:w="3414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시기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조치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결과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2023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인력 15% 감축, SBC 대폭 삭감, S&amp;M 합리화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+$34M 흑자 전환 (-$244M → +$34M)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2024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R&amp;D·G&amp;A 추가 합리화, 플랫폼 통합 가속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+$50∼60M 추정, ARR 성장 지속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2025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Cirtuo·Scoutbee 인수, ARR $1B 공표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GAAP +$81M, ARR $1B 돌파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2026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Rossum·Tonkean 인수, 에이전틱 스택 완성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Navi AI 고도화, Exit 前 밸류에이션 극대화 준비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TB Exit 시나리오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276"/>
        <w:gridCol w:w="2276"/>
        <w:gridCol w:w="4553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시나리오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예상 시기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조건 및 가능성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전략적 매각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2027∼2029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SAP·Oracle·Microsoft 등 대형사 매각. ARR $1.5B+ 달성 시 $12∼15B+ 밸류. 가장 빠른 경로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IPO 재상장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2028∼2030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금리 하락·IPO 시장 회복 시 나스닥 재상장. EV/ARR 10× 이상 멀티플 회복 필요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Secondary PE 매각</w:t>
            </w:r>
          </w:p>
        </w:tc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2026∼2027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타 PE에 지분 매각. 멀티플 낮으나 신속 유동성 확보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인수 완료(2023.02) 기준 4∼7年 Exit → 2027∼2030年이 핵심 창구.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AI 스택 완성도·금리·IPO 시장이 결정 변수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#별첨2. 주요 기업 개요 — Coupa · Rossum · Tonkean · Scoutbee · Thoma Bravo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Coupa Software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2006年 / 美 캘리포니아 San Mateo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영역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BSM / Source-to-Pay 클라우드 플랫폼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핵심 제품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Procurement·Invoicing·Sourcing·Contracts·Expense + Navi AI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 (2025 추정)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ARR ~$1.21B (클라우드 조달 최초 $1B 돌파), GAAP +$81M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소유 구조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Thoma Bravo(PE) 보유 비상장사. ADIA 소수 지분 참여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경쟁 우위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$10조 지출 데이터 독점 + 공급업체 1,000만 네트워크 + 에이전틱 스택 4레이어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Rossum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2017年 / 체코 프라하 (Gogar·Baudiš·Doležal 공동 창업)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영역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IDP — AI 기반 거래 문서 자동 판독·처리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핵심 기술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T-LLM 「Rossum Aurora」 — Discriminative Decoder, 276개 언어, 할루시네이션 차단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2024年 매출 $44.9M (연평균 성장률 +37%), 누적 $104M (Series A, General Catalyst)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통합 역할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스택 3단계 [문서 처리] 레이어 — Coupa Invoicing T-LLM 탑재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Tonkean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2015年 / 美 샌프란시스코 (Sagi Eliyahu·Ofer Ronen 공동 창업)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영역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인테이크 오케스트레이션 — no-code 조달 프로세스 자동화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핵심 기술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프로세스 오케스트레이터 + AI 에이전트 — 구매 요청∼결재∼발주 자율 처리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누적 $83M (Series B, 2021年). 이후 5년 추가 라운드 미유치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인수 금액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"수억 달러" 추정 (CTech 보도, 미공식)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통합 역할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스택 4단계 [요청·실행] 레이어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Scoutbee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2015年 / 독일 뷔르츠부르크 (Stühler·Doering 공동 창업)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사업 영역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기반 공급업체 탐색·스크리닝·리스크 평가 플랫폼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핵심 기술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NLP + 공급업체 데이터 AI — 재무·ESG·지정학적 리스크 자동 평가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고객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Audi, VW, Siemens, Airbus 등 유럽 대형 제조업체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재무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누적 $76M (Series B, 2020年). 이후 5년 추가 라운드 미유치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Coupa 통합 역할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에이전틱 스택 2단계 [공급업체 탐색] 레이어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Thoma Bravo (TB)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6504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항목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내용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본사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1980年 / 美 샌프란시스코·마이애미·뉴욕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창업자 / 대표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Carl Thoma·Orlando Bravo 공동 설립. Orlando Bravo 現 Managing Partner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AUM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$160B+ (2024年) — 소프트웨어·사이버보안 분야 세계 최대 PE 중 하나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투자 전략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'Buy-Improve-Exit' — SaaS·엔터프라이즈 소프트웨어 LBO 특화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투자 기준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구독 매출 70%+ ② Churn 低 ③ FCF 개선 여지 大 ④ 시장 독과점 위상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대표 Exit</w:t>
            </w:r>
          </w:p>
        </w:tc>
        <w:tc>
          <w:tcPr>
            <w:tcW w:w="650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Proofpoint ($12.3B, 2021年) / Barracuda Networks ($4B, 2022年) / SolarWinds (IPO)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#별첨3. SAP Ariba vs. Coupa 비교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항목별 비교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276"/>
        <w:gridCol w:w="3414"/>
        <w:gridCol w:w="3414"/>
      </w:tblGrid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비교 항목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SAP Ariba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Coupa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설립 / 기원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1999年 설립 → SAP SE 2012年 $4.3B 인수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2006年 설립 → TB $8.0B PE 인수 (2023年)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소유 구조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SE 100% 자회사 (상장사)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Thoma Bravo PE 보유 비상장사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ARR / 규모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$3B+ 추정 (SAP 클라우드 내 포함)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~$1.21B (2025年 독립 공표)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플랫폼 성격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ERP 생태계 내 통합 모듈. ERP 의존 구조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독립형 클라우드 BSM. ERP 독립 구현 可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공급업체 네트워크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700만+ 개社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1,000만+ 개社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주요 고객층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ERP 기사용 대형 제조·공공. 전환 비용 매우 高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복합 산업 대기업. Ariba 대체 수요 흡수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전략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Business AI(Joule) 기반. AI 전환 속도 지연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Navi AI + 4건 tuck-in으로 에이전틱 스택 구축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IDP 기술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Doc Info Extraction 자체 개발. T-LLM 미확보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Rossum T-LLM 인수. 276개 언어·할루시네이션 차단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강점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ERP 고착력, 최대 고객 수, 공공·규제 레퍼런스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속도, 독립 구현, 데이터 규모, 스택 선점</w:t>
            </w:r>
          </w:p>
        </w:tc>
      </w:tr>
      <w:tr>
        <w:trPr>
          <w:cantSplit/>
        </w:trPr>
        <w:tc>
          <w:tcPr>
            <w:tcW w:w="2276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약점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AI 속도 지연, ERP 미사용 기업 진입 어려움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SAP ERP 연동 부족, ARR 규모 격차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시사점</w:t>
      </w:r>
    </w:p>
    <w:p>
      <w:pPr>
        <w:autoSpaceDE w:val="0"/>
        <w:autoSpaceDN w:val="0"/>
        <w:spacing w:line="240" w:lineRule="auto" w:after="240"/>
        <w:ind w:left="2128" w:hanging="212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SAP Ariba : ERP 고착력 기반 '방어형 시장 지위'</w:t>
      </w:r>
    </w:p>
    <w:p>
      <w:pPr>
        <w:autoSpaceDE w:val="0"/>
        <w:autoSpaceDN w:val="0"/>
        <w:spacing w:line="240" w:lineRule="auto" w:after="240"/>
        <w:ind w:left="1596" w:hanging="1596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Coupa : AI 속도·데이터 독점 기반 '공격형 확장 전략'</w:t>
      </w:r>
    </w:p>
    <w:p>
      <w:pPr>
        <w:autoSpaceDE w:val="0"/>
        <w:autoSpaceDN w:val="0"/>
        <w:spacing w:line="240" w:lineRule="auto" w:after="180"/>
        <w:ind w:left="931" w:hanging="931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SAP S/4HANA 신규 도입 과정서 Best-of-Breed 선택지로 Coupa 진입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   확대 전망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#별첨4. M&amp;A 대상 기업 후보군 발굴 기준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① 투자 단계 기반 스크리닝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2601"/>
        <w:gridCol w:w="1300"/>
        <w:gridCol w:w="5203"/>
      </w:tblGrid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투자 단계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M&amp;A 적합성</w:t>
            </w:r>
          </w:p>
        </w:tc>
        <w:tc>
          <w:tcPr>
            <w:tcW w:w="520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특성 및 유의사항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Bootstrap / Pre-Seed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협상력 최대</w:t>
            </w:r>
          </w:p>
        </w:tc>
        <w:tc>
          <w:tcPr>
            <w:tcW w:w="520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VC 無 — 창업자가 유일한 협상 상대. 밸류에이션 低, Exit 유인 高. 제품 검증 실사 필요 (Cirtuo 유형)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A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선별 적합</w:t>
            </w:r>
          </w:p>
        </w:tc>
        <w:tc>
          <w:tcPr>
            <w:tcW w:w="520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PMF 검증 단계. AI 기술 조기 확보 시 유효. 고성장 중 조기 인수는 프리미엄 불가피 (Rossum 유형)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B 후 3∼5년 공백
(성장 정체기)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최적 타겟</w:t>
            </w:r>
          </w:p>
        </w:tc>
        <w:tc>
          <w:tcPr>
            <w:tcW w:w="520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기술 검증 완료 + 프리미엄 미형성 + Exit 유인 극대. 인수자 협상력 최대 (Scoutbee·Tonkean)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Series C 이후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프리미엄 주의</w:t>
            </w:r>
          </w:p>
        </w:tc>
        <w:tc>
          <w:tcPr>
            <w:tcW w:w="520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추가 VC 유입으로 밸류에이션 급등. 전략 당위성 매우 높아야 정당화 可</w:t>
            </w:r>
          </w:p>
        </w:tc>
      </w:tr>
      <w:tr>
        <w:trPr>
          <w:cantSplit/>
        </w:trPr>
        <w:tc>
          <w:tcPr>
            <w:tcW w:w="260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PE 보유 / 성숙기</w:t>
            </w:r>
          </w:p>
        </w:tc>
        <w:tc>
          <w:tcPr>
            <w:tcW w:w="1300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특수 목적</w:t>
            </w:r>
          </w:p>
        </w:tc>
        <w:tc>
          <w:tcPr>
            <w:tcW w:w="520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전략 매각·카브아웃 형태만 접근 可. 협상 복잡도 최고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② 파트너십·PoC 2단계 접근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138"/>
        <w:gridCol w:w="3414"/>
        <w:gridCol w:w="4553"/>
      </w:tblGrid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단계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주요 활동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2"/>
                <w:szCs w:val="22"/>
                <w:w w:val="95"/>
              </w:rPr>
              <w:t xml:space="preserve">검증 항목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1단계
파트너십·PoC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공동 개발·SI 협력·파일럿 운영. 기술 API 연동 확인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① 기술 적합성 ② 고객 반응 ③ 운영 연동 가능성</w:t>
            </w:r>
          </w:p>
        </w:tc>
      </w:tr>
      <w:tr>
        <w:trPr>
          <w:cantSplit/>
        </w:trPr>
        <w:tc>
          <w:tcPr>
            <w:tcW w:w="1138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2단계
M&amp;A 내재화</w:t>
            </w:r>
          </w:p>
        </w:tc>
        <w:tc>
          <w:tcPr>
            <w:tcW w:w="3414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파트너십 성과 기반 인수 결정. 통합 PM·로드맵 사전 수립</w:t>
            </w:r>
          </w:p>
        </w:tc>
        <w:tc>
          <w:tcPr>
            <w:tcW w:w="455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2"/>
                <w:szCs w:val="22"/>
                <w:w w:val="95"/>
              </w:rPr>
              <w:t xml:space="preserve">DD 신뢰도 제고, 통합 마찰 비용 절감, 통합 기간 단축</w:t>
            </w:r>
          </w:p>
        </w:tc>
      </w:tr>
    </w:tbl>
    <w:p>
      <w:pPr>
        <w:autoSpaceDE w:val="0"/>
        <w:autoSpaceDN w:val="0"/>
        <w:spacing w:line="40" w:lineRule="exact" w:before="0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180"/>
        <w:ind w:left="665" w:hanging="665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※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현 당사 협력 SaaS 파트너 중 Series B 이후 3년+ 공백 기업 우선 식별</w:t>
      </w:r>
    </w:p>
    <w:p>
      <w:pPr>
        <w:autoSpaceDE w:val="0"/>
        <w:autoSpaceDN w:val="0"/>
        <w:spacing w:line="240" w:lineRule="auto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 필요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③ PE 발굴 기준 참고 (Thoma Bravo 방식)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구독 매출 비중 70%+ — 예측 가능 현금 흐름이 전제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Churn 연 10% 이하 — 고객 유지율이 성장 레버 효과 결정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FCF 개선 여지 — SBC·S&amp;M·R&amp;D 비효율 클수록 최적화 효과 大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기술 독점성 — 도메인 데이터·알고리즘·네트워크 효과 보유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④ AI 기술 M&amp;A 3대 검증 기준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①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도메인 특화 독점 데이터 보유 여부 — 데이터 자체가 기술 모트인 구조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②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범용 LLM 대체 불가 구조적 기술 모트 — '범용 AI 강화형' vs '대체형'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구분</w:t>
      </w:r>
    </w:p>
    <w:p>
      <w:pPr>
        <w:autoSpaceDE w:val="0"/>
        <w:autoSpaceDN w:val="0"/>
        <w:spacing w:line="240" w:lineRule="auto" w:after="18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③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ERP·플랫폼 깊은 연동 — 컴플라이언스·보안 포함 고착력이 장기 가치</w:t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결정</w:t>
      </w:r>
    </w:p>
    <w:p>
      <w:pPr>
        <w:autoSpaceDE w:val="0"/>
        <w:autoSpaceDN w:val="0"/>
        <w:spacing w:line="240" w:lineRule="auto" w:after="180"/>
        <w:ind w:left="931" w:hanging="931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3가지 기준 충족 기업이 AI 전환기 장기 가치 유지 가능성 高</w:t>
      </w:r>
    </w:p>
    <w:p>
      <w:pPr>
        <w:autoSpaceDE w:val="0"/>
        <w:autoSpaceDN w:val="0"/>
        <w:spacing w:line="240" w:lineRule="auto" w:after="240"/>
      </w:pPr>
      <w:r>
        <w:br w:type="page"/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#별첨5. M&amp;A 투자 단계 개요</w:t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단계별 특성 및 M&amp;A 관점</w:t>
      </w:r>
    </w:p>
    <w:tbl>
      <w:tblPr>
        <w:tblW w:w="9106" w:type="dxa"/>
        <w:tblInd w:w="532" w:type="dxa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Layout w:type="fixed"/>
      </w:tblPr>
      <w:tblGrid>
        <w:gridCol w:w="1655"/>
        <w:gridCol w:w="1655"/>
        <w:gridCol w:w="2483"/>
        <w:gridCol w:w="3311"/>
      </w:tblGrid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단계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투자 규모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기업 상태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center"/>
              <w:spacing w:line="240" w:lineRule="auto" w:after="0"/>
            </w:pPr>
            <w:r>
              <w:rPr>
                <w:rFonts w:ascii="바탕체" w:eastAsia="바탕체" w:hAnsi="바탕체" w:cs="바탕체"/>
                <w:b/>
                <w:bCs/>
                <w:color w:val="000000"/>
                <w:sz w:val="20"/>
                <w:szCs w:val="20"/>
                <w:w w:val="95"/>
              </w:rPr>
              <w:t xml:space="preserve">M&amp;A 관점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Pre-Seed / Bootstrap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$0∼$500K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아이디어·MVP. 창업자 자체 자금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기술·팀 인수(Acqui-hire). 밸류에이션 低. 제품 검증 리스크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Seed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$500K∼$3M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초기 제품 완성, 소규모 고객 테스트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 조기 확보 가능. 시장 검증 미완 리스크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A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$3M∼$15M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PMF 검증, ARR $1∼5M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AI 핵심 기술 조기 확보 유효. 고성장 시 프리미엄 급등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$15M∼$50M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시장 확장, ARR $10∼30M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기술·고객 검증 완료 + 프리미엄 미형성 — 효율 우수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B 후 3∼5년 공백
(성장 정체기)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추가 VC 無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검증 완료, 수익화 집중. ARR $20∼80M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최적 타겟 구간. 프리미엄 無 + Exit 유인 극대 + 협상력 최대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C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$50M∼$150M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대규모 확장, ARR $50M+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밸류에이션 급등. 전략 시너지 매우 명확해야 정당화 可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Series D+ / Pre-IPO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$150M+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IPO 준비, ARR $100M+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수 조원대 인수가. 이사회·VC 전원 동의 필요. 복잡도 최고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PE LBO 보유사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N/A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비상장, 비용 최적화 中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keepNext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Secondary 매각·카브아웃만 可. PE Exit 시나리오 종속</w:t>
            </w:r>
          </w:p>
        </w:tc>
      </w:tr>
      <w:tr>
        <w:trPr>
          <w:cantSplit/>
        </w:trPr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대기업 자회사 / 카브아웃</w:t>
            </w:r>
          </w:p>
        </w:tc>
        <w:tc>
          <w:tcPr>
            <w:tcW w:w="1655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N/A</w:t>
            </w:r>
          </w:p>
        </w:tc>
        <w:tc>
          <w:tcPr>
            <w:tcW w:w="2483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대기업 비핵심 사업부 분리</w:t>
            </w:r>
          </w:p>
        </w:tc>
        <w:tc>
          <w:tcPr>
            <w:tcW w:w="3311" w:type="dxa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autoSpaceDE w:val="0"/>
              <w:autoSpaceDN w:val="0"/>
              <w:jc w:val="left"/>
              <w:spacing w:line="240" w:lineRule="auto" w:after="0"/>
            </w:pPr>
            <w:r>
              <w:rPr>
                <w:rFonts w:ascii="바탕체" w:eastAsia="바탕체" w:hAnsi="바탕체" w:cs="바탕체"/>
                <w:color w:val="000000"/>
                <w:sz w:val="20"/>
                <w:szCs w:val="20"/>
                <w:w w:val="95"/>
              </w:rPr>
              <w:t xml:space="preserve">검증 자산 확보 可. 문화 통합 리스크 高</w:t>
            </w:r>
          </w:p>
        </w:tc>
      </w:tr>
    </w:tbl>
    <w:p>
      <w:pPr>
        <w:autoSpaceDE w:val="0"/>
        <w:autoSpaceDN w:val="0"/>
        <w:spacing w:line="40" w:lineRule="exact" w:before="0" w:after="180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/>
      </w:r>
    </w:p>
    <w:p>
      <w:pPr>
        <w:autoSpaceDE w:val="0"/>
        <w:autoSpaceDN w:val="0"/>
        <w:spacing w:line="240" w:lineRule="auto" w:after="240"/>
        <w:ind w:left="399" w:hanging="399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□ 당사 M&amp;A 전략 적용 관점</w:t>
      </w:r>
    </w:p>
    <w:p>
      <w:pPr>
        <w:autoSpaceDE w:val="0"/>
        <w:autoSpaceDN w:val="0"/>
        <w:spacing w:line="240" w:lineRule="auto" w:after="240"/>
        <w:ind w:left="2793" w:hanging="2793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최적 타겟 구간 : 'Series B 후 3∼5년 공백' 성장 정체기 기업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기술 검증 완료 + 프리미엄 未형성 → 협상력 극대화 시점</w:t>
      </w:r>
    </w:p>
    <w:p>
      <w:pPr>
        <w:autoSpaceDE w:val="0"/>
        <w:autoSpaceDN w:val="0"/>
        <w:spacing w:line="240" w:lineRule="auto" w:after="240"/>
        <w:ind w:left="532" w:hanging="532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- 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AI 핵심 기술 경쟁사 선점 우려 → Series A 조기 인수 검토 가능</w:t>
      </w:r>
    </w:p>
    <w:p>
      <w:pPr>
        <w:autoSpaceDE w:val="0"/>
        <w:autoSpaceDN w:val="0"/>
        <w:spacing w:line="240" w:lineRule="auto" w:after="240"/>
        <w:ind w:left="798" w:hanging="798"/>
      </w:pP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    ·</w:t>
      </w:r>
      <w:r>
        <w:rPr>
          <w:rFonts w:ascii="바탕체" w:eastAsia="바탕체" w:hAnsi="바탕체" w:cs="바탕체"/>
          <w:color w:val="000000"/>
          <w:sz w:val="28"/>
          <w:szCs w:val="28"/>
          <w:w w:val="95"/>
        </w:rPr>
        <w:t xml:space="preserve">파트너십·PoC 선행으로 기술 검증 후 내재화 필수 (2단계 접근)</w:t>
      </w:r>
    </w:p>
    <w:p>
      <w:pPr>
        <w:autoSpaceDE w:val="0"/>
        <w:autoSpaceDN w:val="0"/>
        <w:spacing w:line="240" w:lineRule="auto" w:after="180"/>
        <w:ind w:left="931" w:hanging="931"/>
      </w:pP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5"/>
        </w:rPr>
        <w:t xml:space="preserve">    → </w:t>
      </w:r>
      <w:r>
        <w:rPr>
          <w:rFonts w:ascii="바탕체" w:eastAsia="바탕체" w:hAnsi="바탕체" w:cs="바탕체"/>
          <w:b/>
          <w:bCs/>
          <w:color w:val="000000"/>
          <w:sz w:val="28"/>
          <w:szCs w:val="28"/>
          <w:w w:val="90"/>
        </w:rPr>
        <w:t xml:space="preserve">두 경로 모두 '파트너십 선행 검증 → 타이밍 포착 후 내재화' 원칙 동일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851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- </w:t>
    </w:r>
    <w:fldSimple w:instr="PAGE">
      <w:r>
        <w:rPr>
          <w:rFonts w:ascii="바탕체" w:eastAsia="바탕체" w:hAnsi="바탕체" w:cs="바탕체"/>
          <w:color w:val="000000"/>
          <w:sz w:val="24"/>
          <w:szCs w:val="24"/>
          <w:w w:val="95"/>
        </w:rPr>
        <w:t xml:space="preserve">1</w:t>
      </w:r>
    </w:fldSimple>
    <w:r>
      <w:rPr>
        <w:rFonts w:ascii="바탕체" w:eastAsia="바탕체" w:hAnsi="바탕체" w:cs="바탕체"/>
        <w:color w:val="000000"/>
        <w:sz w:val="24"/>
        <w:szCs w:val="24"/>
        <w:w w:val="95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바탕체" w:eastAsia="바탕체" w:hAnsi="바탕체" w:cs="바탕체"/>
        <w:sz w:val="28"/>
        <w:szCs w:val="28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