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u w:val="single"/>
          <w:color w:val="000000"/>
          <w:sz w:val="40"/>
          <w:szCs w:val="40"/>
          <w:w w:val="95"/>
        </w:rPr>
        <w:t xml:space="preserve">토큰맥싱 (Token Maxing) 개요</w:t>
      </w:r>
    </w:p>
    <w:p>
      <w:pPr>
        <w:autoSpaceDE w:val="0"/>
        <w:autoSpaceDN w:val="0"/>
        <w:jc w:val="right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'26. 6. 25 (木)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개요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LLM 호출 시 컨텍스트 창을 전략적으로 최대 활용하여 응답 품질·비용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1" behindDoc="0" locked="0" layoutInCell="1" allowOverlap="1">
            <wp:simplePos x="0" y="0"/>
            <wp:positionH relativeFrom="column">
              <wp:posOffset>1351280</wp:posOffset>
            </wp:positionH>
            <wp:positionV relativeFrom="paragraph">
              <wp:posOffset>-152400</wp:posOffset>
            </wp:positionV>
            <wp:extent cx="3284220" cy="165100"/>
            <wp:effectExtent l="0" t="0" r="0" b="0"/>
            <wp:wrapNone/>
            <wp:docPr id="1001" name="Annotation 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842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Context Window : 모델이 한 번에 처리 가능한 최대 토큰 수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효율을 극대화하는 기법 총칭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'24~'25年 주요 LLM 컨텍스트 창 128K→2M 토큰 급확대 → 실무 활용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전략으로 부상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단순 '많이 넣기'가 아닌 배치·캐싱·청킹을 포함한 종합 최적화 접근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핵심 기법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①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롱 컨텍스트 직주입 — RAG 없이 전체 문서를 컨텍스트에 직접 삽입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2" behindDoc="0" locked="0" layoutInCell="1" allowOverlap="1">
            <wp:simplePos x="0" y="0"/>
            <wp:positionH relativeFrom="column">
              <wp:posOffset>2195830</wp:posOffset>
            </wp:positionH>
            <wp:positionV relativeFrom="paragraph">
              <wp:posOffset>-152400</wp:posOffset>
            </wp:positionV>
            <wp:extent cx="3716655" cy="165100"/>
            <wp:effectExtent l="0" t="0" r="0" b="0"/>
            <wp:wrapNone/>
            <wp:docPr id="1002" name="Annotation 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665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RAG : 검색 기반 증강 생성, 별도 벡터 DB에서 관련 청크 검색·삽입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문서 수 적고 전체 맥락 중요 시 → RAG 대비 정확도·일관성↑</w:t>
      </w:r>
    </w:p>
    <w:p>
      <w:pPr>
        <w:autoSpaceDE w:val="0"/>
        <w:autoSpaceDN w:val="0"/>
        <w:spacing w:line="240" w:lineRule="auto" w:after="240"/>
        <w:ind w:left="1729" w:hanging="1729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단점 : 문서 수↑ 시 입력 비용 급증, 처리 지연 발생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②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프롬프트 캐싱 — 반복 호출 시 고정 prefix 캐시 처리, 비용 최대 90% 절감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3"/>
        </w:rPr>
        <w:t xml:space="preserve">시스템 프롬프트·참조 문서 등 변하지 않는 부분을 캐시 구간으로 설계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③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컨텍스트 배치 최적화 — 중요 정보를 컨텍스트 앞·뒤에 배치</w:t>
      </w:r>
    </w:p>
    <w:p>
      <w:pPr>
        <w:autoSpaceDE w:val="0"/>
        <w:autoSpaceDN w:val="0"/>
        <w:spacing w:line="240" w:lineRule="auto" w:after="180"/>
        <w:ind w:left="3857" w:hanging="3857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'Lost in the Middle' : 컨텍스트 중간 구간 정보 활용률이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3" behindDoc="0" locked="0" layoutInCell="1" allowOverlap="1">
            <wp:simplePos x="0" y="0"/>
            <wp:positionH relativeFrom="column">
              <wp:posOffset>591185</wp:posOffset>
            </wp:positionH>
            <wp:positionV relativeFrom="paragraph">
              <wp:posOffset>-152400</wp:posOffset>
            </wp:positionV>
            <wp:extent cx="2468880" cy="165100"/>
            <wp:effectExtent l="0" t="0" r="0" b="0"/>
            <wp:wrapNone/>
            <wp:docPr id="1003" name="Annotation 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888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Stanford 연구에서 확인된 LLM 특성 ('23년)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        상대적으로 낮음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④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멀티턴 히스토리 압축 — 핵심 맥락만 선별·압축하여 컨텍스트 효율화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⑤ </w:t>
      </w:r>
      <w:r>
        <w:rPr>
          <w:rFonts w:ascii="바탕체" w:eastAsia="바탕체" w:hAnsi="바탕체" w:cs="바탕체"/>
          <w:color w:val="000000"/>
          <w:sz w:val="28"/>
          <w:szCs w:val="28"/>
          <w:w w:val="94"/>
        </w:rPr>
        <w:t xml:space="preserve">배치 단일 호출 — 다수 문서·작업을 한 번에 처리, API 호출 횟수 절감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주요 LLM 컨텍스트 창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948"/>
        <w:gridCol w:w="1701"/>
        <w:gridCol w:w="1350"/>
        <w:gridCol w:w="3105"/>
      </w:tblGrid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모델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공급사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입력 (토큰)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비고</w:t>
            </w:r>
          </w:p>
        </w:tc>
      </w:tr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Gemini 2.5 Pro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Google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righ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2,000,000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최대 컨텍스트 모델</w:t>
            </w:r>
          </w:p>
        </w:tc>
      </w:tr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Gemini 2.0 Flash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Google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righ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1,000,000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경량·가성비</w:t>
            </w:r>
          </w:p>
        </w:tc>
      </w:tr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Claude Sonnet 4.6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Anthropic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righ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200,000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프롬프트 캐싱 지원</w:t>
            </w:r>
          </w:p>
        </w:tc>
      </w:tr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GPT-4o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OpenAI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righ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128,000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범용 표준 모델</w:t>
            </w:r>
          </w:p>
        </w:tc>
      </w:tr>
      <w:tr>
        <w:trPr>
          <w:cantSplit/>
        </w:trPr>
        <w:tc>
          <w:tcPr>
            <w:tcW w:w="294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Llama 3.3 70B</w:t>
            </w:r>
          </w:p>
        </w:tc>
        <w:tc>
          <w:tcPr>
            <w:tcW w:w="17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Meta</w:t>
            </w:r>
          </w:p>
        </w:tc>
        <w:tc>
          <w:tcPr>
            <w:tcW w:w="135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righ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128,000</w:t>
            </w:r>
          </w:p>
        </w:tc>
        <w:tc>
          <w:tcPr>
            <w:tcW w:w="310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오픈소스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공개 스펙 기준; 실제 활용 범위는 요금제·API 버전에 따라 상이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비용·성능 Trade-off</w:t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비용 구조 : 입력 토큰 단가 × 사용량으로 단순 비례, 컨텍스트↑ = 비용↑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프롬프트 캐싱 적중 시 입력 비용 90% 절감 가능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4" behindDoc="0" locked="0" layoutInCell="1" allowOverlap="1">
            <wp:simplePos x="0" y="0"/>
            <wp:positionH relativeFrom="column">
              <wp:posOffset>3209290</wp:posOffset>
            </wp:positionH>
            <wp:positionV relativeFrom="paragraph">
              <wp:posOffset>-152400</wp:posOffset>
            </wp:positionV>
            <wp:extent cx="2473325" cy="165100"/>
            <wp:effectExtent l="0" t="0" r="0" b="0"/>
            <wp:wrapNone/>
            <wp:docPr id="1004" name="Annotation 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332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$3 → $0.30/MTok (Claude Sonnet 4.6 기준)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성능 이점 : 전체 문맥 보존으로 추론 일관성↑, RAG 검색 오류 제거</w:t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용량 기준 : 200K 토큰 ≈ A4 400∼500페이지 분량 단일 호출 처리 가능</w:t>
      </w:r>
    </w:p>
    <w:p>
      <w:pPr>
        <w:autoSpaceDE w:val="0"/>
        <w:autoSpaceDN w:val="0"/>
        <w:spacing w:line="240" w:lineRule="auto" w:after="240"/>
        <w:ind w:left="1463" w:hanging="146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한계 : 컨텍스트 한도 초과 시 오류 발생, 입력 길이↑ → 처리 지연</w:t>
      </w:r>
    </w:p>
    <w:p>
      <w:pPr>
        <w:autoSpaceDE w:val="0"/>
        <w:autoSpaceDN w:val="0"/>
        <w:spacing w:line="240" w:lineRule="auto" w:after="180"/>
        <w:ind w:left="3192" w:hanging="3192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전략 선택 기준 : 소규모 문서·전체 맥락 중요 → 롱컨텍스트,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                   대규모 KB 검색 → RAG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시사점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 솔루션 설계 시 컨텍스트 전략(롱컨텍스트 vs RAG)이 품질·비용의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핵심 아키텍처 변수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프롬프트 캐싱 도입만으로 반복 API 비용 50∼90% 절감 가능 — 즉시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적용 검토 권고</w:t>
      </w:r>
    </w:p>
    <w:p>
      <w:pPr>
        <w:autoSpaceDE w:val="0"/>
        <w:autoSpaceDN w:val="0"/>
        <w:spacing w:line="240" w:lineRule="auto" w:after="180"/>
        <w:ind w:left="5054" w:hanging="5054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계약서·보고서·코드베이스 분석 : 롱컨텍스트 적용 시 구현 단순화 +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                 정확도 개선</w:t>
      </w:r>
    </w:p>
    <w:p>
      <w:pPr>
        <w:autoSpaceDE w:val="0"/>
        <w:autoSpaceDN w:val="0"/>
        <w:spacing w:line="240" w:lineRule="auto" w:after="180"/>
        <w:ind w:left="931" w:hanging="931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프롬프트 캐싱 + 배치 최적화 조합으로 원가 절감·응답 품질 동시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  확보 권고</w:t>
      </w:r>
    </w:p>
    <w:p>
      <w:pPr>
        <w:autoSpaceDE w:val="0"/>
        <w:autoSpaceDN w:val="0"/>
        <w:jc w:val="right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- 이  상 -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851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- </w:t>
    </w:r>
    <w:fldSimple w:instr="PAGE"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>1</w:t>
      </w:r>
    </w:fldSimple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바탕체" w:eastAsia="바탕체" w:hAnsi="바탕체" w:cs="바탕체"/>
        <w:sz w:val="28"/>
        <w:szCs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