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목  차</w:t>
      </w:r>
    </w:p>
    <w:p>
      <w:pPr>
        <w:spacing w:before="0" w:after="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1장 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Medallia 개요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기업 현황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재무 현황 요약 (비상장 전환 후)</w:t>
      </w:r>
    </w:p>
    <w:p>
      <w:pPr>
        <w:spacing w:before="0" w:after="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2장 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Medallia 인수·투자 History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주요 투자 이력</w:t>
      </w:r>
    </w:p>
    <w:p>
      <w:pPr>
        <w:spacing w:before="0" w:after="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3장 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현재 Thoma Bravo / Medallia 상황 분석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경영권 이전 구조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구조적 실패 요인 진단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예상 파급 효과</w:t>
      </w:r>
    </w:p>
    <w:p>
      <w:pPr>
        <w:spacing w:before="0" w:after="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4장 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시사점 및 제언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Thoma Bravo의 Medallia 투자 실패 진단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SaaS 기업가치 평가 기준 확장 필요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사업건전성 대시보드 현금흐름 지표 관리 검토</w:t>
      </w:r>
    </w:p>
    <w:p>
      <w:pPr>
        <w:spacing w:before="0" w:after="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별 첨 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Medallia · Thoma Bravo 기업 프로필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[별첨 1 — p.5]  Medallia 상세 프로필 (제품 구성 · 주요 고객 · 재무 현황)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[별첨 2 — p.6]  Thoma Bravo 상세 프로필 (투자 철학 · 주요 포트폴리오)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[별첨 2 — p.6]  인수 실패 메커니즘 요약</w:t>
      </w:r>
    </w:p>
    <w:p>
      <w:pPr>
        <w:spacing w:before="0" w:after="60" w:line="240" w:lineRule="auto"/>
        <w:ind w:left="850"/>
        <w:jc w:val="left"/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t>□ [별첨 2 — p.6]  참고문헌</w:t>
      </w:r>
    </w:p>
    <w:p>
      <w:pPr>
        <w:spacing w:before="0" w:after="0" w:line="240" w:lineRule="auto"/>
      </w:pPr>
      <w:r>
        <w:br w:type="page"/>
      </w:r>
    </w:p>
    <w:p>
      <w:pPr>
        <w:spacing w:before="0" w:after="240" w:line="240" w:lineRule="auto"/>
        <w:jc w:val="center"/>
      </w:pPr>
      <w:r>
        <w:rPr>
          <w:rFonts w:ascii="바탕체" w:hAnsi="바탕체" w:eastAsia="바탕체" w:cs="바탕체"/>
          <w:b/>
          <w:i w:val="0"/>
          <w:sz w:val="40"/>
          <w:u w:val="single"/>
        </w:rPr>
        <w:t>Medallia 사례로 본 SaaS 기업 가치 평가 기준</w:t>
      </w:r>
    </w:p>
    <w:p>
      <w:pPr>
        <w:spacing w:before="0" w:after="180" w:line="240" w:lineRule="auto"/>
        <w:jc w:val="righ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'26.5.6   솔루션전략그룹</w:t>
      </w:r>
    </w:p>
    <w:tbl>
      <w:tblPr>
        <w:tblW w:type="auto" w:w="0"/>
        <w:jc w:val="left"/>
        <w:tblLook w:firstColumn="1" w:firstRow="1" w:lastColumn="0" w:lastRow="0" w:noHBand="0" w:noVBand="1" w:val="04A0"/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W w:w="150" w:type="pct"/>
          </w:tcPr>
          <w:p/>
        </w:tc>
        <w:tc>
          <w:tcPr>
            <w:tcW w:type="dxa" w:w="3213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1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8"/>
                <w:u w:val="none"/>
              </w:rPr>
              <w:br/>
              <w:t xml:space="preserve">        '21년 Thoma Bravo의 Medallia 인수($6.4B)는 금리 급등과 FCF 악화가 맞물려 '26년 에쿼티 $5B 전액 손실로 귀결됨.</w:t>
              <w:br/>
              <w:t xml:space="preserve">        이 사례를 통해 성장률·EBITDA 중심 평가의 한계를 짚고, Rule of 40·FCF·NRR 기반의</w:t>
              <w:br/>
              <w:t xml:space="preserve">        SaaS 건전성 평가 체계와 솔루션사업 사업건전성 대시보드 운영 방향에 대한 시사점을 제시함</w:t>
              <w:br/>
              <w:t xml:space="preserve">      </w:t>
            </w:r>
          </w:p>
        </w:tc>
        <w:tc>
          <w:tcPr>
            <w:tcW w:type="dxa" w:w="3213"/>
            <w:tcW w:w="150" w:type="pct"/>
          </w:tcPr>
          <w:p/>
        </w:tc>
      </w:tr>
    </w:tbl>
    <w:p>
      <w:pPr>
        <w:spacing w:before="0" w:after="120" w:line="240" w:lineRule="auto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1장</w:t>
      </w:r>
    </w:p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1. Medallia 개요</w:t>
      </w:r>
    </w:p>
    <w:p>
      <w:pPr>
        <w:spacing w:before="0" w:after="320" w:line="240" w:lineRule="auto"/>
        <w:ind w:left="283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□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기업 현황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설립 2001년, 미국 샌프란시스코 소재 CX(고객경험) 관리 플랫폼 전문 기업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주요 오퍼링: 고객 피드백 수집·분석, NPS(고객순추천지수) 측정, 직원경험(EX) 플랫폼, 옴니채널 고객 인텔리전스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주요 고객군: 금융, 항공, 호텔, 통신 등 글로벌 대기업(Fortune 500 다수 포함)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2019년 NYSE 상장(티커: MDLA) → 2021년 Thoma Bravo 인수 후 상장 폐지</w:t>
      </w:r>
    </w:p>
    <w:p>
      <w:pPr>
        <w:spacing w:before="0" w:after="320" w:line="240" w:lineRule="auto"/>
        <w:ind w:left="283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□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재무 현황 요약 (비상장 전환 후)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항목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내용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비고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연간 매출 (추정)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$700M대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인수 당시 기준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연간 EBITDA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$200M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표면상 양호해 보이는 수치</w:t>
            </w:r>
          </w:p>
        </w:tc>
      </w:tr>
      <w:tr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현재 부채 잔액</w:t>
            </w:r>
          </w:p>
        </w:tc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color w:val="B00000"/>
                <w:sz w:val="26"/>
                <w:u w:val="none"/>
              </w:rPr>
              <w:t>약 $2.8B</w:t>
            </w:r>
          </w:p>
        </w:tc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PIK 이자 누적으로 인수 시 $1.8B → 증가</w:t>
            </w:r>
          </w:p>
        </w:tc>
      </w:tr>
      <w:tr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연간 이자비용</w:t>
            </w:r>
          </w:p>
        </w:tc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color w:val="B00000"/>
                <w:sz w:val="26"/>
                <w:u w:val="none"/>
              </w:rPr>
              <w:t>약 $300M</w:t>
            </w:r>
          </w:p>
        </w:tc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이자 &gt; EBITDA → 구조적 적자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인수 Valuation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$6.4B (매출 9배)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2021년 저금리 환경 기준</w:t>
            </w:r>
          </w:p>
        </w:tc>
      </w:tr>
    </w:tbl>
    <w:p>
      <w:pPr>
        <w:spacing w:before="0" w:after="180" w:line="240" w:lineRule="auto"/>
        <w:ind w:left="1701"/>
        <w:jc w:val="left"/>
      </w:pPr>
      <w:r>
        <w:rPr>
          <w:rFonts w:ascii="바탕체" w:hAnsi="바탕체" w:eastAsia="바탕체" w:cs="바탕체"/>
          <w:b/>
          <w:i w:val="0"/>
          <w:sz w:val="20"/>
          <w:u w:val="none"/>
        </w:rPr>
        <w:t xml:space="preserve">※ </w:t>
      </w:r>
      <w:r>
        <w:rPr>
          <w:rFonts w:ascii="바탕체" w:hAnsi="바탕체" w:eastAsia="바탕체" w:cs="바탕체"/>
          <w:b w:val="0"/>
          <w:i w:val="0"/>
          <w:sz w:val="20"/>
          <w:u w:val="none"/>
        </w:rPr>
        <w:t>연간 이자비용($300M)이 EBITDA($200M)를 초과 — EBITDA만 보면 건전해 보이지만 실제로는 이미 구조적 파산 진행 중인 상태. 상세 기업 프로필은 별첨 참조</w:t>
      </w:r>
    </w:p>
    <w:p>
      <w:pPr>
        <w:spacing w:before="0" w:after="180" w:line="240" w:lineRule="auto"/>
        <w:ind w:left="1701"/>
        <w:jc w:val="left"/>
      </w:pPr>
      <w:r>
        <w:rPr>
          <w:rFonts w:ascii="바탕체" w:hAnsi="바탕체" w:eastAsia="바탕체" w:cs="바탕체"/>
          <w:b/>
          <w:i w:val="0"/>
          <w:sz w:val="20"/>
          <w:u w:val="none"/>
        </w:rPr>
        <w:t xml:space="preserve">※ </w:t>
      </w:r>
      <w:r>
        <w:rPr>
          <w:rFonts w:ascii="바탕체" w:hAnsi="바탕체" w:eastAsia="바탕체" w:cs="바탕체"/>
          <w:b w:val="0"/>
          <w:i w:val="0"/>
          <w:sz w:val="20"/>
          <w:u w:val="none"/>
        </w:rPr>
        <w:t>* PIK(Payment-in-Kind): 현금 이자 대신 미납 이자를 원금에 가산하여 나중에 일괄 상환하는 방식. 단기 현금 부담을 줄이는 대신 원금이 복리 방식으로 팽창하는 구조적 위험을 내포함</w:t>
      </w:r>
    </w:p>
    <w:p>
      <w:pPr>
        <w:spacing w:before="0" w:after="120" w:line="240" w:lineRule="auto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재무 차트</w:t>
      </w:r>
    </w:p>
    <w:p>
      <w:pPr>
        <w:spacing w:before="0" w:after="180" w:line="240" w:lineRule="auto"/>
        <w:ind w:left="0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[ 주요 재무 지표 비교 (단위: $M) ]</w:t>
      </w:r>
    </w:p>
    <w:p>
      <w:pPr>
        <w:spacing w:before="0" w:after="120" w:line="240" w:lineRule="auto"/>
        <w:jc w:val="center"/>
      </w:pPr>
      <w:r>
        <w:rPr>
          <w:rFonts w:ascii="바탕체" w:hAnsi="바탕체" w:eastAsia="바탕체" w:cs="바탕체"/>
          <w:b w:val="0"/>
          <w:i w:val="0"/>
          <w:color w:val="CC0000"/>
          <w:sz w:val="20"/>
          <w:u w:val="none"/>
        </w:rPr>
        <w:t>↳ 이자비용($300M)이 EBITDA($200M)를 초과 — 표면상 양호한 EBITDA도 이자를 충당하지 못하는 구조적 적자</w:t>
      </w:r>
    </w:p>
    <w:p>
      <w:pPr>
        <w:spacing w:before="0" w:after="180" w:line="240" w:lineRule="auto"/>
        <w:jc w:val="center"/>
      </w:pPr>
      <w:r>
        <w:rPr>
          <w:rFonts w:ascii="바탕체" w:hAnsi="바탕체" w:eastAsia="바탕체" w:cs="바탕체"/>
          <w:b w:val="0"/>
          <w:i/>
          <w:color w:val="444444"/>
          <w:sz w:val="24"/>
          <w:u w:val="none"/>
        </w:rPr>
        <w:t>[주요 재무 지표 비교 차트 — 이자비용($300M)이 EBITDA($200M) 초과, 구조적 적자 확인]</w:t>
      </w:r>
    </w:p>
    <w:p>
      <w:pPr>
        <w:spacing w:before="0" w:after="120" w:line="240" w:lineRule="auto"/>
        <w:jc w:val="center"/>
      </w:pPr>
      <w:r>
        <w:rPr>
          <w:rFonts w:ascii="바탕체" w:hAnsi="바탕체" w:eastAsia="바탕체" w:cs="바탕체"/>
          <w:b w:val="0"/>
          <w:i w:val="0"/>
          <w:color w:val="777777"/>
          <w:sz w:val="20"/>
          <w:u w:val="none"/>
        </w:rPr>
        <w:t>※ 매출 FY2020: 공개 기준 / 인수 시점 매출·EBITDA·이자비용: 추정치 (OnlyCFO, 2026.5.1 기반)</w:t>
      </w:r>
    </w:p>
    <w:p>
      <w:pPr>
        <w:spacing w:before="0" w:after="0" w:line="240" w:lineRule="auto"/>
      </w:pPr>
      <w:r>
        <w:br w:type="page"/>
      </w:r>
    </w:p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2. Medallia 인수·투자 History</w:t>
      </w:r>
    </w:p>
    <w:p>
      <w:pPr>
        <w:spacing w:before="0" w:after="320" w:line="240" w:lineRule="auto"/>
        <w:ind w:left="283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□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주요 투자 이력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시기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주요 내용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'01년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미국 샌프란시스코에서 설립. CX(고객경험) 피드백 관리 솔루션으로 엔터프라이즈 시장 진입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'15~'18년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VC·성장단계 PE로부터 복수의 투자 유치, 기업가치 급성장. Fortune 500 고객 확보로 시장 지위 강화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'19년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NYSE 상장(티커: MDLA). IPO 공모가 $21 → 상장 후 $30~40대 형성. FY2020 연매출 $477M, 순손실 –$149M</w:t>
            </w:r>
          </w:p>
        </w:tc>
      </w:tr>
      <w:tr>
        <w:tc>
          <w:tcPr>
            <w:tcW w:type="dxa" w:w="4819"/>
            <w:shd w:val="clear" w:color="auto" w:fill="FEF9E5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'21년</w:t>
            </w:r>
          </w:p>
        </w:tc>
        <w:tc>
          <w:tcPr>
            <w:tcW w:type="dxa" w:w="4819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Thoma Bravo(이하 TB), $6.4B에 주식 100% 인수·상장폐지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인수배수: 연매출 약 9배 (당시 고성장 SaaS 프리미엄 적용)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조달구조: 에쿼티 약 $4.6B + 변동금리 부채 $1.8B = 인수가 $6.4B (당시 LIBOR* 0.75%)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설계 의도: 저금리 조달 후 영업현금흐름으로 이자 감당, 3~5년 내 매각·재상장으로 에쿼티 회수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내재 취약점: 변동금리 구조 — 시장금리 상승 시 이자부담이 LIBOR/SOFR 연동으로 자동 급증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'22~'23년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美 연준 금리 인상(→ SOFR 5.4%)으로 이자부담 급증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연이자 $135M → $300M으로 2배 이상 급등 (SOFR 연동 변동금리 직격)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PIK(Payment-in-Kind) 조항 발동: 현금 이자 납부 불가 → 미납 이자를 원금에 가산하는 방식 전환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부채 팽창: PIK 적용으로 원금 $1.8B → 약 $2.8B (약 $1B이 이자로 원금에 누적 편입)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'죽음의 소용돌이' 진입: 이자 충당 위한 현금 소진 → 제품 혁신 투자 불가 → 경쟁력 저하 반복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'24~'25년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M&amp;A 시장 동결·IPO 시장 폐쇄로 TB의 회수 경로 완전 차단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TB의 회수 시도: 전략적 매각(대형 기술기업 대상 협상), 레버리지 리캡, IPO 재추진 등 검토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매각 실패 원인: $2.8B 부채 인수 부담 + AI 경쟁 심화로 기업가치 추가 하락으로 협상 결렬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AI 경쟁 심화: Qualtrics 등 AI 네이티브 경쟁자 급부상 → 성장률 정체, 고객 이탈 가속화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FCF 전액 이자 상환에 투입 → 제품 로드맵 사실상 동결, 신기능 개발 사실상 중단</w:t>
            </w:r>
          </w:p>
        </w:tc>
      </w:tr>
      <w:tr>
        <w:tc>
          <w:tcPr>
            <w:tcW w:type="dxa" w:w="4819"/>
            <w:shd w:val="clear" w:color="auto" w:fill="FEF9E5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'26년</w:t>
            </w:r>
          </w:p>
        </w:tc>
        <w:tc>
          <w:tcPr>
            <w:tcW w:type="dxa" w:w="4819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TB, 채권단(Blackstone 등)에 경영권 이전 결정 → $5B 투자 전액 손실 확정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Debt-to-Equity Swap: 채권단이 보유한 $2.8B 채권을 지분으로 전환 — 구(舊) 에쿼티 전액 소멸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투자자 역할 역전: Blackstone 주도 채권단 → 실질 최대주주 전환, TB → 지분 소멸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TB의 추가 자금 투입 거부(Bloomberg, 2026.4.30): 회수 가능성 없다고 최종 판단, 신규 에쿼티 투입 중단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· PE 투자 역사상 최대 규모 SaaS LBO* 실패 사례 중 하나로 업계에 기록</w:t>
            </w:r>
          </w:p>
        </w:tc>
      </w:tr>
    </w:tbl>
    <w:p>
      <w:pPr>
        <w:spacing w:before="0" w:after="180" w:line="240" w:lineRule="auto"/>
        <w:ind w:left="1701"/>
        <w:jc w:val="left"/>
      </w:pPr>
      <w:r>
        <w:rPr>
          <w:rFonts w:ascii="바탕체" w:hAnsi="바탕체" w:eastAsia="바탕체" w:cs="바탕체"/>
          <w:b/>
          <w:i w:val="0"/>
          <w:sz w:val="20"/>
          <w:u w:val="none"/>
        </w:rPr>
        <w:t xml:space="preserve">※ </w:t>
      </w:r>
      <w:r>
        <w:rPr>
          <w:rFonts w:ascii="바탕체" w:hAnsi="바탕체" w:eastAsia="바탕체" w:cs="바탕체"/>
          <w:b w:val="0"/>
          <w:i w:val="0"/>
          <w:sz w:val="20"/>
          <w:u w:val="none"/>
        </w:rPr>
        <w:t>* SOFR(Secured Overnight Financing Rate): 미국 달러 단기 대출금리 기준으로, 기존 LIBOR를 대체하는 기준금리. 미 연준 금리 결정에 연동되며 2022년 금리 인상으로 5.4%까지 상승하여 변동금리 차입 기업의 이자부담을 급격히 증가시킴</w:t>
      </w:r>
    </w:p>
    <w:p>
      <w:pPr>
        <w:spacing w:before="0" w:after="180" w:line="240" w:lineRule="auto"/>
        <w:ind w:left="1701"/>
        <w:jc w:val="left"/>
      </w:pPr>
      <w:r>
        <w:rPr>
          <w:rFonts w:ascii="바탕체" w:hAnsi="바탕체" w:eastAsia="바탕체" w:cs="바탕체"/>
          <w:b/>
          <w:i w:val="0"/>
          <w:sz w:val="20"/>
          <w:u w:val="none"/>
        </w:rPr>
        <w:t xml:space="preserve">※ </w:t>
      </w:r>
      <w:r>
        <w:rPr>
          <w:rFonts w:ascii="바탕체" w:hAnsi="바탕체" w:eastAsia="바탕체" w:cs="바탕체"/>
          <w:b w:val="0"/>
          <w:i w:val="0"/>
          <w:sz w:val="20"/>
          <w:u w:val="none"/>
        </w:rPr>
        <w:t>* LIBOR(London Interbank Offered Rate): 런던 은행 간 단기 대출금리 기준. 글로벌 금융계약의 기준금리로 활용되었으나 2023년 공식 폐지 후 SOFR로 대체됨. Medallia 인수 당시(2021년) 0.75% 수준이었으나, 이후 연동 기준이 SOFR로 전환됨</w:t>
      </w:r>
    </w:p>
    <w:p>
      <w:pPr>
        <w:spacing w:before="0" w:after="180" w:line="240" w:lineRule="auto"/>
        <w:ind w:left="1701"/>
        <w:jc w:val="left"/>
      </w:pPr>
      <w:r>
        <w:rPr>
          <w:rFonts w:ascii="바탕체" w:hAnsi="바탕체" w:eastAsia="바탕체" w:cs="바탕체"/>
          <w:b/>
          <w:i w:val="0"/>
          <w:sz w:val="20"/>
          <w:u w:val="none"/>
        </w:rPr>
        <w:t xml:space="preserve">※ </w:t>
      </w:r>
      <w:r>
        <w:rPr>
          <w:rFonts w:ascii="바탕체" w:hAnsi="바탕체" w:eastAsia="바탕체" w:cs="바탕체"/>
          <w:b w:val="0"/>
          <w:i w:val="0"/>
          <w:sz w:val="20"/>
          <w:u w:val="none"/>
        </w:rPr>
        <w:t>* LBO(Leveraged Buy-Out, 차입매수): 인수자금의 일부를 부채로 조달해 기업을 인수하는 구조. 레버리지 효과로 에쿼티 수익률을 극대화할 수 있으나, 금리 상승 시 이자부담이 급증하는 구조적 리스크를 내포함</w:t>
      </w:r>
    </w:p>
    <w:p>
      <w:pPr>
        <w:spacing w:before="0" w:after="180" w:line="240" w:lineRule="auto"/>
        <w:ind w:left="567"/>
        <w:jc w:val="left"/>
      </w:pPr>
      <w:r>
        <w:rPr>
          <w:rFonts w:ascii="바탕체" w:hAnsi="바탕체" w:eastAsia="바탕체" w:cs="바탕체"/>
          <w:b w:val="0"/>
          <w:i/>
          <w:color w:val="333333"/>
          <w:sz w:val="26"/>
          <w:u w:val="none"/>
        </w:rPr>
        <w:t>"We way overestimated the very high rate of growth of that company into the future."</w:t>
      </w:r>
    </w:p>
    <w:p>
      <w:pPr>
        <w:spacing w:before="0" w:after="180" w:line="240" w:lineRule="auto"/>
        <w:ind w:left="567"/>
        <w:jc w:val="left"/>
      </w:pPr>
      <w:r>
        <w:rPr>
          <w:rFonts w:ascii="바탕체" w:hAnsi="바탕체" w:eastAsia="바탕체" w:cs="바탕체"/>
          <w:b w:val="0"/>
          <w:i/>
          <w:color w:val="666666"/>
          <w:sz w:val="24"/>
          <w:u w:val="none"/>
        </w:rPr>
        <w:t>— Orlando Bravo (Thoma Bravo CEO), 2026</w:t>
      </w:r>
    </w:p>
    <w:p>
      <w:pPr>
        <w:spacing w:before="0" w:after="180" w:line="240" w:lineRule="auto"/>
        <w:jc w:val="left"/>
        <w:shd w:val="clear" w:color="auto" w:fill="F5F5F5"/>
        <w:pBdr>
          <w:top w:val="single" w:sz="4" w:color="888888"/>
          <w:left w:val="single" w:sz="4" w:color="888888"/>
          <w:bottom w:val="single" w:sz="4" w:color="888888"/>
          <w:right w:val="single" w:sz="4" w:color="888888"/>
        </w:pBdr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br/>
      </w:r>
      <w:r>
        <w:rPr>
          <w:rFonts w:ascii="바탕체" w:hAnsi="바탕체" w:eastAsia="바탕체" w:cs="바탕체"/>
          <w:b/>
          <w:i w:val="0"/>
          <w:sz w:val="26"/>
          <w:u w:val="none"/>
        </w:rPr>
        <w:t>[ LBO + PIK 구조 이해 ]</w:t>
      </w:r>
      <w:r>
        <w:rPr>
          <w:rFonts w:ascii="바탕체" w:hAnsi="바탕체" w:eastAsia="바탕체" w:cs="바탕체"/>
          <w:b w:val="0"/>
          <w:i w:val="0"/>
          <w:sz w:val="26"/>
          <w:u w:val="none"/>
        </w:rPr>
        <w:t xml:space="preserve"> </w:t>
        <w:br/>
        <w:t xml:space="preserve">    LBO(차입매수)는 인수자금의 일부를 부채로 조달해 기업을 인수하는 구조. 변동금리로 조달 시</w:t>
        <w:br/>
        <w:t xml:space="preserve">    금리 상승이 직접 이자비용 급등으로 이어짐. PIK는 현금 이자 대신 미납 이자를 원금에 가산해</w:t>
        <w:br/>
        <w:t xml:space="preserve">    나중에 상환하는 방식으로, 단기 현금 부담을 줄이는 대신 원금이 복리 방식으로 팽창하는</w:t>
        <w:br/>
        <w:t xml:space="preserve">    구조적 위험을 내포함. Medallia의 경우 두 조건이 동시에 발동하면서 부채가 통제 불가 수준으로 증가함.</w:t>
        <w:br/>
        <w:t xml:space="preserve">  </w:t>
      </w:r>
    </w:p>
    <w:p>
      <w:pPr>
        <w:spacing w:before="0" w:after="0" w:line="240" w:lineRule="auto"/>
      </w:pPr>
      <w:r>
        <w:br w:type="page"/>
      </w:r>
    </w:p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3. 현재 Thoma Bravo / Medallia 상황 분석</w:t>
      </w:r>
    </w:p>
    <w:p>
      <w:pPr>
        <w:spacing w:before="0" w:after="320" w:line="240" w:lineRule="auto"/>
        <w:ind w:left="283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□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경영권 이전 구조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TB의 에쿼티 지분 → 채권단으로 이전(Debt-to-Equity Swap): 채권단이 보유한 $2.8B 채권을 지분으로 전환</w:t>
        <w:br/>
        <w:t xml:space="preserve">     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에쿼티 소멸 순서: TB 출자금($4.6B) 전액 + 기타 에쿼티 투자자 → 채무 변제 후 잔여가치 없음</w:t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TB의 추가 자금 투입 거부(Bloomberg, 2026.4.30): 회수 가능성 없다고 최종 판단, 신규 에쿼티 투입 중단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Blackstone 등 기존 대출자(채권단)가 실질적 최대주주로 전환 — 구조조정·처분 결정권 이동</w:t>
        <w:br/>
        <w:t xml:space="preserve">     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현재 지배구조: Blackstone 주도 채권단(대주주) + 민간 신용 펀드 등 기타 채권자 → 공동 소유</w:t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채권자 입장에서도 원금 전액 회수 불확실 — 민간 신용(Private Credit) 시장 손실 가시화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에쿼티 손실 합계: TB 출자금 $4.6B + 기타 에쿼티 투자자 분 포함 총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$5B 전액 손실 확정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(PE 투자 역사상 최대 규모 SaaS LBO 실패 사례 중 하나)</w:t>
        <w:br/>
        <w:t xml:space="preserve">     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TB 단독 출자금 $4.6B / 전체 에쿼티 투자자 합산 $5B — 보고서 내 "$5B 손실"은 합산 기준</w:t>
      </w:r>
    </w:p>
    <w:p>
      <w:pPr>
        <w:spacing w:before="0" w:after="320" w:line="240" w:lineRule="auto"/>
        <w:ind w:left="283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□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구조적 실패 요인 진단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실패 요인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내용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① 부채구조 취약성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변동금리 대출 → 금리 인상으로 이자 $135M → $300M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PIK 이자 누적으로 원금 $1.8B → $2.8B (약 $1B 팽창)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color w:val="555555"/>
                <w:sz w:val="24"/>
                <w:u w:val="none"/>
              </w:rPr>
              <w:t>※ 고정금리였다면 연이자 ~$135M — EBITDA $200M 내 감당 가능했을 수준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② 성장률 과대 추정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인수 당시 고성장 지속 전제로 매출 9배 밸류에이션 적용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실제: 경기 둔화 + AI 경쟁 심화로 성장 정체 → EBITDA 개선 미실현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color w:val="555555"/>
                <w:sz w:val="24"/>
                <w:u w:val="none"/>
              </w:rPr>
              <w:t>※ TB의 일반적 밸류업(비용절감·영업효율화) 전략만으로는 고부채 상환에 역부족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③ 출구 경로 차단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M&amp;A 시장 동결, IPO 시장 폐쇄로 PE의 통상 회수 수단(3~5년 내 매각·상장) 모두 불가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전략적 매각 시도: 고부채($2.8B) 구조가 잠재 인수자의 실질 인수비용 급등 → 협상 결렬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color w:val="555555"/>
                <w:sz w:val="24"/>
                <w:u w:val="none"/>
              </w:rPr>
              <w:t>※ 레버리지 리캡(부채 구조조정)도 고금리 지속으로 실질 대안 아님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④ 혁신 투자 소진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모든 FCF가 이자 상환에 투입 → AI 시대 신제품 개발 불가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Qualtrics 등 AI 중심 경쟁사로 고객 이탈 → NRR 하락 → 미래 매출 감소 가속</w:t>
            </w: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br/>
            </w:r>
            <w:r>
              <w:rPr>
                <w:rFonts w:ascii="바탕체" w:hAnsi="바탕체" w:eastAsia="바탕체" w:cs="바탕체"/>
                <w:b w:val="0"/>
                <w:i w:val="0"/>
                <w:color w:val="555555"/>
                <w:sz w:val="24"/>
                <w:u w:val="none"/>
              </w:rPr>
              <w:t>악순환: 혁신 불가 → 경쟁력 상실 → NRR 하락 → FCF 악화 → 혁신 더욱 불가</w:t>
            </w:r>
          </w:p>
        </w:tc>
      </w:tr>
    </w:tbl>
    <w:p>
      <w:pPr>
        <w:spacing w:before="0" w:after="320" w:line="240" w:lineRule="auto"/>
        <w:ind w:left="283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□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예상 파급 효과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Medallia 고객사: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투자·개발 축소로 서비스 품질 저하 및 로드맵 불확실성 증가</w:t>
        <w:br/>
        <w:t xml:space="preserve">     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Qualtrics·Salesforce 등 경쟁사의 Medallia 고객 유치 공세 강화 — 이탈 가속화 우려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PE 업계: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유사 구조(고배수 LBO + 변동금리)의 소프트웨어 기업 연쇄 부실화 시그널</w:t>
        <w:br/>
        <w:t xml:space="preserve">     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2021년 고배수로 인수된 SaaS 기업 중 Medallia와 동일 구조를 가진 기업 다수 존재 (OnlyCFO 추산)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민간 신용 시장: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부실 소프트웨어 대출 관련 손실 본격 가시화</w:t>
        <w:br/>
        <w:t xml:space="preserve">     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Blackstone 등 채권자도 원금 전액 회수 불확실 → Private Credit 시장 리스크 현실화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소프트웨어 M&amp;A 시장: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PE 참여 매물 급증 예상, 바이어 협상력 강화</w:t>
        <w:br/>
        <w:t xml:space="preserve">     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고부채 매물의 디스카운트 딜 증가, 전략적 인수자(Strategic Buyer)에게 유리한 시장 형성</w:t>
      </w:r>
    </w:p>
    <w:p>
      <w:pPr>
        <w:spacing w:before="0" w:after="180" w:line="240" w:lineRule="auto"/>
        <w:ind w:left="0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▸ 동일 구조 위험에 노출된 대표 사례 (2021~2022년 고배수 LBO 인수 기업)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기업명</w:t>
            </w:r>
          </w:p>
        </w:tc>
        <w:tc>
          <w:tcPr>
            <w:tcW w:type="dxa" w:w="1928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PE 인수사</w:t>
            </w:r>
          </w:p>
        </w:tc>
        <w:tc>
          <w:tcPr>
            <w:tcW w:type="dxa" w:w="1928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인수 시기</w:t>
            </w:r>
          </w:p>
        </w:tc>
        <w:tc>
          <w:tcPr>
            <w:tcW w:type="dxa" w:w="1928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인수금액</w:t>
            </w:r>
          </w:p>
        </w:tc>
        <w:tc>
          <w:tcPr>
            <w:tcW w:type="dxa" w:w="1928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사업 영역</w:t>
            </w:r>
          </w:p>
        </w:tc>
      </w:tr>
      <w:tr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Proofpoint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2021.4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$12.3B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사이버보안 SaaS</w:t>
            </w:r>
          </w:p>
        </w:tc>
      </w:tr>
      <w:tr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RealPage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2021.4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$10.2B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부동산 관리 SaaS</w:t>
            </w:r>
          </w:p>
        </w:tc>
      </w:tr>
      <w:tr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Stamps.com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2021.10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$6.6B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우편·배송 SaaS</w:t>
            </w:r>
          </w:p>
        </w:tc>
      </w:tr>
      <w:tr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Zendesk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Permira·H&amp;F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2022.11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$10.2B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CX SaaS</w:t>
            </w:r>
          </w:p>
        </w:tc>
      </w:tr>
      <w:tr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Avalara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Vista Equity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2022.10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$8.4B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세금 자동화 SaaS</w:t>
            </w:r>
          </w:p>
        </w:tc>
      </w:tr>
      <w:tr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SailPoint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2022.4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$6.9B</w:t>
            </w:r>
          </w:p>
        </w:tc>
        <w:tc>
          <w:tcPr>
            <w:tcW w:type="dxa" w:w="1928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ID 보안 SaaS</w:t>
            </w:r>
          </w:p>
        </w:tc>
      </w:tr>
    </w:tbl>
    <w:p>
      <w:pPr>
        <w:spacing w:before="0" w:after="180" w:line="240" w:lineRule="auto"/>
        <w:ind w:left="1701"/>
        <w:jc w:val="left"/>
      </w:pPr>
      <w:r>
        <w:rPr>
          <w:rFonts w:ascii="바탕체" w:hAnsi="바탕체" w:eastAsia="바탕체" w:cs="바탕체"/>
          <w:b/>
          <w:i w:val="0"/>
          <w:sz w:val="20"/>
          <w:u w:val="none"/>
        </w:rPr>
        <w:t xml:space="preserve">※ </w:t>
      </w:r>
      <w:r>
        <w:rPr>
          <w:rFonts w:ascii="바탕체" w:hAnsi="바탕체" w:eastAsia="바탕체" w:cs="바탕체"/>
          <w:b w:val="0"/>
          <w:i w:val="0"/>
          <w:sz w:val="20"/>
          <w:u w:val="none"/>
        </w:rPr>
        <w:t>2021~2022년 저금리 환경에서 9~10배 이상 배수로 인수된 소프트웨어 기업 상당수가 동일한 구조적 문제(고부채 + 변동금리)에 직면할 것으로 전망 (OnlyCFO, 2026.5.1 기반)</w:t>
      </w:r>
    </w:p>
    <w:p>
      <w:pPr>
        <w:spacing w:before="0" w:after="0" w:line="240" w:lineRule="auto"/>
      </w:pPr>
      <w:r>
        <w:br w:type="page"/>
      </w:r>
    </w:p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4. 시사점 및 제언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color w:val="333333"/>
          <w:sz w:val="28"/>
          <w:u w:val="none"/>
        </w:rPr>
        <w:t>앞서 살펴본 Medallia 사례의 구조적 실패는 외부 PE 업계에만 국한된 이슈가 아니다. 이하에서는 동 사례가 솔루션사업 운영에 주는 핵심 교훈과, 사업건전성 대시보드에 연결하는 방향을 정리한다.</w:t>
      </w:r>
    </w:p>
    <w:p>
      <w:pPr>
        <w:spacing w:before="0" w:after="120" w:line="240" w:lineRule="auto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시사점 1</w:t>
      </w:r>
    </w:p>
    <w:p>
      <w:pPr>
        <w:spacing w:before="0" w:after="320" w:line="240" w:lineRule="auto"/>
        <w:ind w:left="283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□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① Thoma Bravo의 Medallia 투자 실패 진단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성장률 과대 추정 — 고성장 지속을 전제로 매출 9배 밸류에이션을 적용하였으나, 경기 둔화·AI 경쟁 심화로 성장 정체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과도한 차입 매수(LBO) 후 고금리 시대 도래 → 연이자 $135M에서 $300M으로 급증, PIK 이자 누적으로 부채가 $2.8B까지 팽창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FCF(현금흐름) 이슈로 신규 AI 투자 저조 → 경쟁사 대비 제품 혁신 중단 → 고객 이탈 가속 → 성장률 둔화의 악순환으로 PE 투자 역사상 손꼽히는 실패 사례로 기록</w:t>
      </w:r>
    </w:p>
    <w:p>
      <w:pPr>
        <w:spacing w:before="0" w:after="120" w:line="240" w:lineRule="auto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시사점 2</w:t>
      </w:r>
    </w:p>
    <w:p>
      <w:pPr>
        <w:spacing w:before="0" w:after="320" w:line="240" w:lineRule="auto"/>
        <w:ind w:left="283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□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② SaaS 기업가치 평가 기준 확장 필요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SaaS 특화 기업가치 평가 기준(ARR 성장률, Rule of 40, NRR 등)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뿐만 아니라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, 전통적인 기업가치 평가 기준(누적 차입금액/적자금액, FCF)을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함께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관리할 필요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평가 기준 유형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주요 지표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Medallia 사례에서의 의미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SaaS 특화 기준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ARR 성장률, Rule of 40, NRR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성장·수익·고객유지 균형 측정 — 세 지표 모두에서 사전 경고 신호가 있었음</w:t>
            </w:r>
          </w:p>
        </w:tc>
      </w:tr>
      <w:tr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전통적 기준</w:t>
            </w:r>
          </w:p>
        </w:tc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누적 차입금액, 누적 적자금액, FCF</w:t>
            </w:r>
          </w:p>
        </w:tc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$2.8B 부채 팽창·EBITDA 초과 이자는 전통 기준으로만 가시화 가능한 구조적 위험</w:t>
            </w:r>
          </w:p>
        </w:tc>
      </w:tr>
    </w:tbl>
    <w:p>
      <w:pPr>
        <w:spacing w:before="0" w:after="120" w:line="240" w:lineRule="auto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시사점 3</w:t>
      </w:r>
    </w:p>
    <w:p>
      <w:pPr>
        <w:spacing w:before="0" w:after="320" w:line="240" w:lineRule="auto"/>
        <w:ind w:left="283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□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③ 사업건전성 대시보드 현금흐름 지표 관리 검토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사업건전성 대시보드 운영 시, 하기와 같은 현금흐름 지표 관리를 검토함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(1) 현금흐름 지표 관리  </w:t>
      </w:r>
      <w:r>
        <w:rPr>
          <w:rFonts w:ascii="바탕체" w:hAnsi="바탕체" w:eastAsia="바탕체" w:cs="바탕체"/>
          <w:b/>
          <w:i w:val="0"/>
          <w:color w:val="444444"/>
          <w:sz w:val="24"/>
          <w:u w:val="none"/>
        </w:rPr>
        <w:t>(분기/반기/년, 누적 년)</w:t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FCF = 영업이익(영업현금흐름) − CAPEX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(2) EV / Par Coverage 관리  </w:t>
      </w:r>
      <w:r>
        <w:rPr>
          <w:rFonts w:ascii="바탕체" w:hAnsi="바탕체" w:eastAsia="바탕체" w:cs="바탕체"/>
          <w:b/>
          <w:i w:val="0"/>
          <w:color w:val="444444"/>
          <w:sz w:val="24"/>
          <w:u w:val="none"/>
        </w:rPr>
        <w:t>(기업가치 대비 누적 차입금/적자금액 관리)</w:t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EV (Enterprise Value) = Annual FCF × Multiple(시장 평균 멀티플 × 할인률)   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→ 1 이상이어야 함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남은 대출 원금 (Loan Par) → 내부 적용 시 누적 적자 금액으로 대체 가능</w:t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Multiple = EV / FCF</w:t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EV / Par Coverage Ratio = EV ÷ Loan Par(누적 차입금/적자금액)   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→ 1 이상 유지 필요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1 미만 시: 기업가치가 누적 부채를 커버하지 못하는 구조적 위험 신호</w:t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Medallia의 경우 EV 급락 + Loan Par $2.8B 팽창으로 이 비율이 임계치 이하로 하락 → 경영권 상실</w:t>
      </w:r>
    </w:p>
    <w:p>
      <w:pPr>
        <w:spacing w:before="0" w:after="180" w:line="240" w:lineRule="auto"/>
        <w:ind w:left="1701"/>
        <w:jc w:val="left"/>
      </w:pPr>
      <w:r>
        <w:rPr>
          <w:rFonts w:ascii="바탕체" w:hAnsi="바탕체" w:eastAsia="바탕체" w:cs="바탕체"/>
          <w:b/>
          <w:i w:val="0"/>
          <w:sz w:val="20"/>
          <w:u w:val="none"/>
        </w:rPr>
        <w:t xml:space="preserve">※ </w:t>
      </w:r>
      <w:r>
        <w:rPr>
          <w:rFonts w:ascii="바탕체" w:hAnsi="바탕체" w:eastAsia="바탕체" w:cs="바탕체"/>
          <w:b w:val="0"/>
          <w:i w:val="0"/>
          <w:sz w:val="20"/>
          <w:u w:val="none"/>
        </w:rPr>
        <w:t>EV/Par Coverage가 1 미만으로 하락할 경우, 기업가치가 누적 차입금을 커버하지 못하는 상태를 의미 — Medallia 사례의 구조적 파산을 사전에 포착할 수 있었던 핵심 지표</w:t>
      </w:r>
    </w:p>
    <w:p>
      <w:pPr>
        <w:spacing w:before="0" w:after="180" w:line="240" w:lineRule="auto"/>
        <w:ind w:left="1701"/>
        <w:jc w:val="left"/>
      </w:pPr>
      <w:r>
        <w:rPr>
          <w:rFonts w:ascii="바탕체" w:hAnsi="바탕체" w:eastAsia="바탕체" w:cs="바탕체"/>
          <w:b/>
          <w:i w:val="0"/>
          <w:sz w:val="20"/>
          <w:u w:val="none"/>
        </w:rPr>
        <w:t xml:space="preserve">※ </w:t>
      </w:r>
      <w:r>
        <w:rPr>
          <w:rFonts w:ascii="바탕체" w:hAnsi="바탕체" w:eastAsia="바탕체" w:cs="바탕체"/>
          <w:b w:val="0"/>
          <w:i w:val="0"/>
          <w:sz w:val="20"/>
          <w:u w:val="none"/>
        </w:rPr>
        <w:t>내부 적용 기준(안): Annual FCF = 영업현금흐름 기준 / Multiple = 국내 B2B SaaS 시장 평균 참고(5~8배 예상) / Loan Par = 누적 차입금 또는 누적 적자 금액. 시범 산출 후 사업부 협의를 통해 기준 확정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→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FCF 및 EV/Par Coverage 지표를 대시보드에 추가함으로써, 표면 지표(매출·EBITDA) 중심 평가의 한계를 보완하고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구조적 재무 리스크를 조기에 감지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하는 체계 구축</w:t>
      </w:r>
    </w:p>
    <w:p>
      <w:pPr>
        <w:spacing w:before="0" w:after="0" w:line="240" w:lineRule="auto"/>
      </w:pPr>
      <w:r>
        <w:br w:type="page"/>
      </w:r>
    </w:p>
    <w:p>
      <w:pPr>
        <w:spacing w:before="0" w:after="240" w:line="240" w:lineRule="auto"/>
        <w:jc w:val="center"/>
      </w:pPr>
      <w:r>
        <w:rPr>
          <w:rFonts w:ascii="바탕체" w:hAnsi="바탕체" w:eastAsia="바탕체" w:cs="바탕체"/>
          <w:b/>
          <w:i w:val="0"/>
          <w:sz w:val="30"/>
          <w:u w:val="none"/>
        </w:rPr>
        <w:t>【 별첨 1 】 Medallia 기업 상세 프로필</w:t>
      </w:r>
    </w:p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기업 기본 정보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기업명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Medallia, Inc.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설립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2001년 (미국 캘리포니아)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창립자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Borge Hald, Amy Pressman (Fortune 500 기업 임원 컨설팅 경험 기반 창업)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본사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San Francisco, CA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임직원 수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2,037명 (2021년 1월 기준)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상장 이력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2019년 7월 NYSE 상장 (MDLA, 공모가 $21) → 2021년 10월 Thoma Bravo 인수로 상장 폐지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현재 상태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채권단(Blackstone 등) 관리하 구조조정 중 (2026년)</w:t>
            </w:r>
          </w:p>
        </w:tc>
      </w:tr>
    </w:tbl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제품·솔루션 구성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카테고리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주요 솔루션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고객경험 (CX)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고객경험 관리(CEM), 디지털 경험 분석, 경험 오케스트레이션, 개인화 메시징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직원경험 (EX)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직원 리스닝(Listening), 직원 활성화(Activation) 플랫폼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컨택센터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대화형 인텔리전스, 상담원 코칭, 품질 관리, 지능형 콜백(Intelligent Callback)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AI·분석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Frontline-Ready AI™ — 별도 교육 없이 현장에서 즉시 활용 가능한 내장형 AI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시장조사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애자일 리서치(Agile Research), 비디오 조사</w:t>
            </w:r>
          </w:p>
        </w:tc>
      </w:tr>
    </w:tbl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주요 고객 및 시장 지위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주요 글로벌 고객: Airbnb, Volvo Cars, 3M, Johnson &amp; Johnson, MetLife, PetSmart, Best Western, H&amp;R Block 등 Fortune 500 다수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주요 산업군: 금융 서비스, 항공, 호텔·숙박, 통신, 소매, B2B 기업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Gartner Magic Quadrant 2026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"Leader"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선정 (CX 관리 플랫폼 부문)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주요 경쟁사: Qualtrics(SAP 계열), NICE Satmetrix, Salesforce Experience Cloud, Sprinklr</w:t>
      </w:r>
    </w:p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비즈니스 모델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연간 구독(ARR) 기반 엔터프라이즈 SaaS 모델 — 대형 고객 중심, 구현 서비스 별도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Forrester TEI(총체적 경제 영향) 분석 기준: 3년 ROI 185%, 개인화 기반 매출 성장 $30M, 기술 통합 절감 $15M</w:t>
      </w:r>
    </w:p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주요 M&amp;A 이력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연도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인수 기업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내용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2016년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Kampyle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웹 피드백 및 고객 인텔리전스 솔루션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2019년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CoolaData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행동 분석(Behavioral Analytics) 플랫폼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2020년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Voci Technologies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음성 AI·통화 분석 솔루션 ($59M)</w:t>
            </w:r>
          </w:p>
        </w:tc>
      </w:tr>
    </w:tbl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재무 현황 (상장 폐지 직전 공개 기준)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항목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수치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기준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연간 매출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$477M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FY2020 (상장 당시 공개)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순손실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color w:val="B00000"/>
                <w:sz w:val="26"/>
                <w:u w:val="none"/>
              </w:rPr>
              <w:t>–$149M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FY2020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인수 후 추정 매출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$700M대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2021년 인수 당시 기준 (추정)</w:t>
            </w:r>
          </w:p>
        </w:tc>
      </w:tr>
    </w:tbl>
    <w:p>
      <w:pPr>
        <w:spacing w:before="0" w:after="180" w:line="240" w:lineRule="auto"/>
        <w:ind w:left="1701"/>
        <w:jc w:val="left"/>
      </w:pPr>
      <w:r>
        <w:rPr>
          <w:rFonts w:ascii="바탕체" w:hAnsi="바탕체" w:eastAsia="바탕체" w:cs="바탕체"/>
          <w:b/>
          <w:i w:val="0"/>
          <w:sz w:val="20"/>
          <w:u w:val="none"/>
        </w:rPr>
        <w:t xml:space="preserve">※ </w:t>
      </w:r>
      <w:r>
        <w:rPr>
          <w:rFonts w:ascii="바탕체" w:hAnsi="바탕체" w:eastAsia="바탕체" w:cs="바탕체"/>
          <w:b w:val="0"/>
          <w:i w:val="0"/>
          <w:sz w:val="20"/>
          <w:u w:val="none"/>
        </w:rPr>
        <w:t>2021년 상장 폐지 후 재무 정보 비공개. 이자비용 급증으로 인한 FCF 악화는 기사(OnlyCFO, 2026.5.1) 분석 기반</w:t>
      </w:r>
    </w:p>
    <w:p>
      <w:pPr>
        <w:spacing w:before="0" w:after="0" w:line="240" w:lineRule="auto"/>
      </w:pPr>
      <w:r>
        <w:br w:type="page"/>
      </w:r>
    </w:p>
    <w:p>
      <w:pPr>
        <w:spacing w:before="0" w:after="240" w:line="240" w:lineRule="auto"/>
        <w:jc w:val="center"/>
      </w:pPr>
      <w:r>
        <w:rPr>
          <w:rFonts w:ascii="바탕체" w:hAnsi="바탕체" w:eastAsia="바탕체" w:cs="바탕체"/>
          <w:b/>
          <w:i w:val="0"/>
          <w:sz w:val="30"/>
          <w:u w:val="none"/>
        </w:rPr>
        <w:t>【 별첨 2 】 Thoma Bravo 기업 상세 프로필</w:t>
      </w:r>
    </w:p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기업 기본 정보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기업명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Bravo, LP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설립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2008년 공식 설립 (전신: 1980년 설립된 Golder Thoma &amp; Co.)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본사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San Francisco, CA / Chicago, IL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운용자산(AUM)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$183B 이상 (2025년 12월 31일 기준)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누적 거래 건수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565건 이상 완료, 누적 대표 가치 $305B 이상</w:t>
            </w:r>
          </w:p>
        </w:tc>
      </w:tr>
      <w:tr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/>
                <w:i w:val="0"/>
                <w:sz w:val="26"/>
                <w:u w:val="none"/>
              </w:rPr>
              <w:t>특화 분야</w:t>
            </w:r>
          </w:p>
        </w:tc>
        <w:tc>
          <w:tcPr>
            <w:tcW w:type="dxa" w:w="4819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엔터프라이즈 소프트웨어, 인프라 소프트웨어, 사이버보안, 기술 서비스</w:t>
            </w:r>
          </w:p>
        </w:tc>
      </w:tr>
    </w:tbl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투자 철학 및 전략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핵심 슬로건: </w:t>
      </w:r>
      <w:r>
        <w:rPr>
          <w:rFonts w:ascii="바탕체" w:hAnsi="바탕체" w:eastAsia="바탕체" w:cs="바탕체"/>
          <w:b w:val="0"/>
          <w:i/>
          <w:sz w:val="28"/>
          <w:u w:val="none"/>
        </w:rPr>
        <w:t>"Software keeps redefining the enterprise"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— 소프트웨어의 지속적 혁신 가치에 집중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단순 재무 수익이 아닌 </w:t>
      </w:r>
      <w:r>
        <w:rPr>
          <w:rFonts w:ascii="바탕체" w:hAnsi="바탕체" w:eastAsia="바탕체" w:cs="바탕체"/>
          <w:b/>
          <w:i w:val="0"/>
          <w:sz w:val="28"/>
          <w:u w:val="none"/>
        </w:rPr>
        <w:t>운영 개선(Operational Improvement)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을 통한 기업 가치 창출 추구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"매입-구축(Buy &amp; Build)" 전략: 수평적 통합 및 제품 확장으로 시장 지배력 강화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소프트웨어 특화 이유</w:t>
        <w:br/>
        <w:t xml:space="preserve">     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br/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높은 반복 수익(ARR) 구조와 낮은 한계 비용으로 가치 창출이 용이</w:t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운영 효율화(비용 절감·제품 고도화) 후 재매각 또는 상장을 통한 수익 실현</w:t>
      </w:r>
    </w:p>
    <w:p>
      <w:pPr>
        <w:spacing w:before="0" w:after="180" w:line="240" w:lineRule="auto"/>
        <w:ind w:left="198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·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Google Cloud 등과 전략적 파트너십으로 AI·소프트웨어 결합 전략 추진</w:t>
      </w:r>
    </w:p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주요 포트폴리오 (대표 사례)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기업명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분야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인수 금액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Proofpoint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엔터프라이즈 사이버보안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$12.3B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Anaplan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기업 계획(Planning) 플랫폼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$10.7B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Stamps.com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우편·배송 SaaS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$6.6B</w:t>
            </w:r>
          </w:p>
        </w:tc>
      </w:tr>
      <w:tr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Medallia</w:t>
            </w:r>
          </w:p>
        </w:tc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CX 관리 플랫폼</w:t>
            </w:r>
          </w:p>
        </w:tc>
        <w:tc>
          <w:tcPr>
            <w:tcW w:type="dxa" w:w="3213"/>
            <w:shd w:val="clear" w:color="auto" w:fill="FEF9E5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color w:val="B00000"/>
                <w:sz w:val="26"/>
                <w:u w:val="none"/>
              </w:rPr>
              <w:t>$6.4B (손실 확정)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Coupa Software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조달 자동화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$6.15B</w:t>
            </w:r>
          </w:p>
        </w:tc>
      </w:tr>
      <w:tr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Sophos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엔드포인트 보안</w:t>
            </w:r>
          </w:p>
        </w:tc>
        <w:tc>
          <w:tcPr>
            <w:tcW w:type="dxa" w:w="3213"/>
          </w:tcPr>
          <w:p>
            <w:pPr>
              <w:spacing w:before="0" w:after="40" w:line="240" w:lineRule="auto"/>
              <w:jc w:val="center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$3.9B</w:t>
            </w:r>
          </w:p>
        </w:tc>
      </w:tr>
    </w:tbl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인수 실패 메커니즘 요약</w:t>
      </w:r>
    </w:p>
    <w:p>
      <w:pPr>
        <w:spacing w:before="0" w:after="180" w:line="240" w:lineRule="auto"/>
        <w:jc w:val="left"/>
        <w:shd w:val="clear" w:color="auto" w:fill="F5F5F5"/>
        <w:pBdr>
          <w:top w:val="single" w:sz="4" w:color="888888"/>
          <w:left w:val="single" w:sz="4" w:color="888888"/>
          <w:bottom w:val="single" w:sz="4" w:color="888888"/>
          <w:right w:val="single" w:sz="4" w:color="888888"/>
        </w:pBdr>
      </w:pPr>
      <w:r>
        <w:rPr>
          <w:rFonts w:ascii="바탕체" w:hAnsi="바탕체" w:eastAsia="바탕체" w:cs="바탕체"/>
          <w:b w:val="0"/>
          <w:i w:val="0"/>
          <w:sz w:val="26"/>
          <w:u w:val="none"/>
        </w:rPr>
        <w:br/>
      </w:r>
      <w:r>
        <w:rPr>
          <w:rFonts w:ascii="바탕체" w:hAnsi="바탕체" w:eastAsia="바탕체" w:cs="바탕체"/>
          <w:b/>
          <w:i w:val="0"/>
          <w:sz w:val="26"/>
          <w:u w:val="none"/>
        </w:rPr>
        <w:t>부채 시한폭탄 메커니즘</w:t>
      </w:r>
      <w:r>
        <w:rPr>
          <w:rFonts w:ascii="바탕체" w:hAnsi="바탕체" w:eastAsia="바탕체" w:cs="바탕체"/>
          <w:b w:val="0"/>
          <w:i w:val="0"/>
          <w:sz w:val="26"/>
          <w:u w:val="none"/>
        </w:rPr>
        <w:br/>
      </w:r>
      <w:r>
        <w:rPr>
          <w:rFonts w:ascii="바탕체" w:hAnsi="바탕체" w:eastAsia="바탕체" w:cs="바탕체"/>
          <w:b w:val="0"/>
          <w:i w:val="0"/>
          <w:sz w:val="26"/>
          <w:u w:val="none"/>
        </w:rPr>
        <w:br/>
        <w:t xml:space="preserve">    인수 시 변동금리 $1.8B 조달 (LIBOR 0.75%)</w:t>
        <w:br/>
        <w:t xml:space="preserve">    → 연준 인상으로 SOFR 5.4% 도달</w:t>
        <w:br/>
        <w:t xml:space="preserve">    → 연이자 $135M → $300M 급등</w:t>
        <w:br/>
        <w:t xml:space="preserve">    → PIK 이자 누적으로 원금 $1.8B → $2.8B (복리 방식으로 지속 증가, 약 $1B 누적)</w:t>
        <w:br/>
        <w:t xml:space="preserve">    → EBITDA $200M으로 이자조차 충당 불가</w:t>
        <w:br/>
        <w:t xml:space="preserve">    → 채무불이행(Default) → 경영권 상실</w:t>
        <w:br/>
        <w:t xml:space="preserve">  </w:t>
      </w:r>
    </w:p>
    <w:p>
      <w:pPr>
        <w:spacing w:before="0" w:after="180" w:line="240" w:lineRule="auto"/>
        <w:ind w:left="1701"/>
        <w:jc w:val="left"/>
      </w:pPr>
      <w:r>
        <w:rPr>
          <w:rFonts w:ascii="바탕체" w:hAnsi="바탕체" w:eastAsia="바탕체" w:cs="바탕체"/>
          <w:b/>
          <w:i w:val="0"/>
          <w:sz w:val="20"/>
          <w:u w:val="none"/>
        </w:rPr>
        <w:t xml:space="preserve">※ </w:t>
      </w:r>
      <w:r>
        <w:rPr>
          <w:rFonts w:ascii="바탕체" w:hAnsi="바탕체" w:eastAsia="바탕체" w:cs="바탕체"/>
          <w:b w:val="0"/>
          <w:i w:val="0"/>
          <w:sz w:val="20"/>
          <w:u w:val="none"/>
        </w:rPr>
        <w:t>PIK(Payment-In-Kind): 현금 대신 부채를 추가로 쌓는 방식으로 이자를 납부하는 조항</w:t>
      </w:r>
    </w:p>
    <w:p>
      <w:pPr>
        <w:spacing w:before="0" w:after="120" w:line="240" w:lineRule="auto"/>
        <w:pBdr>
          <w:top w:val="single" w:sz="4" w:color="CCCCCC"/>
        </w:pBdr>
      </w:pPr>
    </w:p>
    <w:p>
      <w:pPr>
        <w:spacing w:before="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single"/>
        </w:rPr>
        <w:t>참고문헌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▸ 분석 기사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OnlyCFO, "Thoma Bravo's $5B Medallia Loss | The PE Reckoning is Coming..." (2026.5.1)</w:t>
        <w:br/>
        <w:t xml:space="preserve">       — 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onlycfo.io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Bloomberg, "Thoma Bravo Declines to Invest More in Troubled Medallia" (2026.4.30)</w:t>
        <w:br/>
        <w:t xml:space="preserve">       — 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bloomberg.com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▸ 기업 공식 자료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Medallia 공식 홈페이지</w:t>
        <w:br/>
        <w:t xml:space="preserve">       — 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medallia.com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Thoma Bravo 공식 홈페이지</w:t>
        <w:br/>
        <w:t xml:space="preserve">       — 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thomabravo.com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Thoma Bravo, "Medallia to be Acquired by Thoma Bravo for $6.4 Billion" (보도자료, 2021.7)</w:t>
        <w:br/>
        <w:t xml:space="preserve">       — 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thomabravo.com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PR Newswire, "Medallia Announces Pricing of Initial Public Offering" (2019.7)</w:t>
        <w:br/>
        <w:t xml:space="preserve">       — 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prnewswire.com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▸ 개념 참고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Wikipedia, "Medallia"</w:t>
        <w:br/>
        <w:t xml:space="preserve">       — 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en.wikipedia.org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Wikipedia, "Thoma Bravo"</w:t>
        <w:br/>
        <w:t xml:space="preserve">       — 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en.wikipedia.org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Wikipedia, "Rule of 40"</w:t>
        <w:br/>
        <w:t xml:space="preserve">       — 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en.wikipedia.org</w:t>
      </w:r>
    </w:p>
    <w:p>
      <w:pPr>
        <w:spacing w:before="0" w:after="180" w:line="240" w:lineRule="auto"/>
        <w:ind w:left="1134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- 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McKinsey, "SaaS and the Rule of 40: Keys to the Critical Value Creation Metric"</w:t>
        <w:br/>
        <w:t xml:space="preserve">       — </w:t>
      </w:r>
      <w:r>
        <w:rPr>
          <w:rFonts w:ascii="바탕체" w:hAnsi="바탕체" w:eastAsia="바탕체" w:cs="바탕체"/>
          <w:b w:val="0"/>
          <w:i w:val="0"/>
          <w:sz w:val="28"/>
          <w:u w:val="none"/>
        </w:rPr>
        <w:t>mckinsey.com</w:t>
      </w:r>
    </w:p>
    <w:p>
      <w:pPr>
        <w:spacing w:before="0" w:after="240" w:line="240" w:lineRule="auto"/>
        <w:jc w:val="righ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— 以 上 —</w:t>
      </w:r>
    </w:p>
    <w:sectPr w:rsidR="00FC693F" w:rsidRPr="0006063C" w:rsidSect="00034616">
      <w:footerReference w:type="default" r:id="rId9"/>
      <w:pgSz w:w="11906" w:h="16838"/>
      <w:pgMar w:top="1417" w:right="1134" w:bottom="1417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</w:pPr>
    <w:r>
      <w:rPr>
        <w:rFonts w:ascii="바탕체" w:hAnsi="바탕체" w:eastAsia="바탕체" w:cs="바탕체"/>
        <w:b w:val="0"/>
        <w:i w:val="0"/>
        <w:sz w:val="24"/>
        <w:u w:val="none"/>
      </w:rPr>
      <w:t xml:space="preserve">— </w:t>
    </w:r>
    <w:r>
      <w:rPr>
        <w:rFonts w:ascii="바탕체" w:hAnsi="바탕체" w:eastAsia="바탕체" w:cs="바탕체"/>
        <w:b w:val="0"/>
        <w:i w:val="0"/>
        <w:sz w:val="24"/>
        <w:u w:val="none"/>
      </w:rPr>
      <w:fldChar w:fldCharType="begin"/>
    </w:r>
    <w:r>
      <w:rPr>
        <w:rFonts w:ascii="바탕체" w:hAnsi="바탕체" w:eastAsia="바탕체" w:cs="바탕체"/>
        <w:b w:val="0"/>
        <w:i w:val="0"/>
        <w:sz w:val="24"/>
        <w:u w:val="none"/>
      </w:rPr>
      <w:instrText xml:space="preserve"> PAGE </w:instrText>
    </w:r>
    <w:r>
      <w:rPr>
        <w:rFonts w:ascii="바탕체" w:hAnsi="바탕체" w:eastAsia="바탕체" w:cs="바탕체"/>
        <w:b w:val="0"/>
        <w:i w:val="0"/>
        <w:sz w:val="24"/>
        <w:u w:val="none"/>
      </w:rPr>
      <w:fldChar w:fldCharType="end"/>
    </w:r>
    <w:r>
      <w:rPr>
        <w:rFonts w:ascii="바탕체" w:hAnsi="바탕체" w:eastAsia="바탕체" w:cs="바탕체"/>
        <w:b w:val="0"/>
        <w:i w:val="0"/>
        <w:sz w:val="24"/>
        <w:u w:val="none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바탕체" w:hAnsi="바탕체" w:eastAsia="바탕체" w:cs="바탕체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