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PRIVACY POLICY AND COOKIE POLICY</w:t>
      </w:r>
    </w:p>
    <w:p>
      <w:pPr>
        <w:jc w:val="center"/>
      </w:pPr>
      <w:r>
        <w:rPr>
          <w:rFonts w:ascii="Arial" w:hAnsi="Arial"/>
          <w:sz w:val="20"/>
        </w:rPr>
        <w:t>Version 1.0</w:t>
      </w:r>
      <w:r>
        <w:br/>
      </w:r>
      <w:r>
        <w:rPr>
          <w:rFonts w:ascii="Arial" w:hAnsi="Arial"/>
          <w:sz w:val="20"/>
        </w:rPr>
        <w:t>May 2026</w:t>
      </w:r>
    </w:p>
    <w:p>
      <w:pPr>
        <w:pStyle w:val="Heading1"/>
        <w:spacing w:before="240" w:after="100"/>
      </w:pPr>
      <w:r>
        <w:t>1. Purpose of this document</w:t>
      </w:r>
    </w:p>
    <w:p>
      <w:pPr>
        <w:spacing w:after="100"/>
      </w:pPr>
      <w:r>
        <w:rPr>
          <w:rFonts w:ascii="Arial" w:hAnsi="Arial"/>
          <w:sz w:val="21"/>
        </w:rPr>
        <w:t>This Privacy Policy and Cookie Policy defines how personal data obtained by 103, Filmska produkcija in sport, Jure Niedorfer s.p. (hereinafter: the “Controller”) in the course of its activities is collected, processed, used, stored, and protected.</w:t>
      </w:r>
    </w:p>
    <w:p>
      <w:pPr>
        <w:spacing w:after="100"/>
      </w:pPr>
      <w:r>
        <w:rPr>
          <w:rFonts w:ascii="Arial" w:hAnsi="Arial"/>
          <w:sz w:val="21"/>
        </w:rPr>
        <w:t>The purpose of this document is to provide individuals with clear information about:</w:t>
      </w:r>
    </w:p>
    <w:p>
      <w:pPr>
        <w:pStyle w:val="ListBullet"/>
        <w:spacing w:after="40"/>
      </w:pPr>
      <w:r>
        <w:rPr>
          <w:rFonts w:ascii="Arial" w:hAnsi="Arial"/>
          <w:sz w:val="21"/>
        </w:rPr>
        <w:t>which personal data the Controller processes,</w:t>
      </w:r>
    </w:p>
    <w:p>
      <w:pPr>
        <w:pStyle w:val="ListBullet"/>
        <w:spacing w:after="40"/>
      </w:pPr>
      <w:r>
        <w:rPr>
          <w:rFonts w:ascii="Arial" w:hAnsi="Arial"/>
          <w:sz w:val="21"/>
        </w:rPr>
        <w:t>the purposes for which the data is used,</w:t>
      </w:r>
    </w:p>
    <w:p>
      <w:pPr>
        <w:pStyle w:val="ListBullet"/>
        <w:spacing w:after="40"/>
      </w:pPr>
      <w:r>
        <w:rPr>
          <w:rFonts w:ascii="Arial" w:hAnsi="Arial"/>
          <w:sz w:val="21"/>
        </w:rPr>
        <w:t>the legal bases on which processing is carried out,</w:t>
      </w:r>
    </w:p>
    <w:p>
      <w:pPr>
        <w:pStyle w:val="ListBullet"/>
        <w:spacing w:after="40"/>
      </w:pPr>
      <w:r>
        <w:rPr>
          <w:rFonts w:ascii="Arial" w:hAnsi="Arial"/>
          <w:sz w:val="21"/>
        </w:rPr>
        <w:t>how long the data is stored,</w:t>
      </w:r>
    </w:p>
    <w:p>
      <w:pPr>
        <w:pStyle w:val="ListBullet"/>
        <w:spacing w:after="40"/>
      </w:pPr>
      <w:r>
        <w:rPr>
          <w:rFonts w:ascii="Arial" w:hAnsi="Arial"/>
          <w:sz w:val="21"/>
        </w:rPr>
        <w:t>to whom the data may be disclosed,</w:t>
      </w:r>
    </w:p>
    <w:p>
      <w:pPr>
        <w:pStyle w:val="ListBullet"/>
        <w:spacing w:after="40"/>
      </w:pPr>
      <w:r>
        <w:rPr>
          <w:rFonts w:ascii="Arial" w:hAnsi="Arial"/>
          <w:sz w:val="21"/>
        </w:rPr>
        <w:t>which rights individuals have in relation to their personal data.</w:t>
      </w:r>
    </w:p>
    <w:p>
      <w:pPr>
        <w:spacing w:after="100"/>
      </w:pPr>
      <w:r>
        <w:rPr>
          <w:rFonts w:ascii="Arial" w:hAnsi="Arial"/>
          <w:sz w:val="21"/>
        </w:rPr>
        <w:t>This Policy applies to all visitors of the websites 103.si and jureniedorfer.com, clients of services, participants in activities, business partners, and other individuals who contact the Controller.</w:t>
      </w:r>
    </w:p>
    <w:p>
      <w:pPr>
        <w:pStyle w:val="Heading1"/>
        <w:spacing w:before="240" w:after="100"/>
      </w:pPr>
      <w:r>
        <w:t>2. Personal Data Controller</w:t>
      </w:r>
    </w:p>
    <w:p>
      <w:pPr>
        <w:spacing w:after="100"/>
      </w:pPr>
      <w:r>
        <w:rPr>
          <w:rFonts w:ascii="Arial" w:hAnsi="Arial"/>
          <w:sz w:val="21"/>
        </w:rPr>
        <w:t>The personal data controller is:</w:t>
      </w:r>
    </w:p>
    <w:p>
      <w:pPr>
        <w:spacing w:after="100"/>
      </w:pPr>
      <w:r>
        <w:rPr>
          <w:rFonts w:ascii="Arial" w:hAnsi="Arial"/>
          <w:sz w:val="21"/>
        </w:rPr>
        <w:t>103, Filmska produkcija in sport, Jure Niedorfer s.p.</w:t>
      </w:r>
      <w:r>
        <w:br/>
      </w:r>
      <w:r>
        <w:rPr>
          <w:rFonts w:ascii="Arial" w:hAnsi="Arial"/>
          <w:sz w:val="21"/>
        </w:rPr>
        <w:t>Alpska cesta 3</w:t>
      </w:r>
      <w:r>
        <w:br/>
      </w:r>
      <w:r>
        <w:rPr>
          <w:rFonts w:ascii="Arial" w:hAnsi="Arial"/>
          <w:sz w:val="21"/>
        </w:rPr>
        <w:t>4260 Bled</w:t>
      </w:r>
      <w:r>
        <w:br/>
      </w:r>
      <w:r>
        <w:rPr>
          <w:rFonts w:ascii="Arial" w:hAnsi="Arial"/>
          <w:sz w:val="21"/>
        </w:rPr>
        <w:t>Slovenia</w:t>
      </w:r>
    </w:p>
    <w:p>
      <w:pPr>
        <w:spacing w:after="100"/>
      </w:pPr>
      <w:r>
        <w:rPr>
          <w:rFonts w:ascii="Arial" w:hAnsi="Arial"/>
          <w:sz w:val="21"/>
        </w:rPr>
        <w:t>Registration number: 7307616000</w:t>
      </w:r>
      <w:r>
        <w:br/>
      </w:r>
      <w:r>
        <w:rPr>
          <w:rFonts w:ascii="Arial" w:hAnsi="Arial"/>
          <w:sz w:val="21"/>
        </w:rPr>
        <w:t>Tax number: 74515039</w:t>
      </w:r>
    </w:p>
    <w:p>
      <w:pPr>
        <w:spacing w:after="100"/>
      </w:pPr>
      <w:r>
        <w:rPr>
          <w:rFonts w:ascii="Arial" w:hAnsi="Arial"/>
          <w:sz w:val="21"/>
        </w:rPr>
        <w:t>Contact person: Jure Niedorfer</w:t>
      </w:r>
      <w:r>
        <w:br/>
      </w:r>
      <w:r>
        <w:rPr>
          <w:rFonts w:ascii="Arial" w:hAnsi="Arial"/>
          <w:sz w:val="21"/>
        </w:rPr>
        <w:t>Email: hello@103.si</w:t>
      </w:r>
    </w:p>
    <w:p>
      <w:pPr>
        <w:spacing w:after="100"/>
      </w:pPr>
      <w:r>
        <w:rPr>
          <w:rFonts w:ascii="Arial" w:hAnsi="Arial"/>
          <w:sz w:val="21"/>
        </w:rPr>
        <w:t>The Controller has not appointed a data protection officer because, considering the nature and scope of processing, this is not mandatory under applicable law.</w:t>
      </w:r>
    </w:p>
    <w:p>
      <w:pPr>
        <w:spacing w:after="100"/>
      </w:pPr>
      <w:r>
        <w:rPr>
          <w:rFonts w:ascii="Arial" w:hAnsi="Arial"/>
          <w:sz w:val="21"/>
        </w:rPr>
        <w:t>For any questions relating to the processing of personal data, an individual may contact the Controller at the contact email address stated above.</w:t>
      </w:r>
    </w:p>
    <w:p>
      <w:pPr>
        <w:pStyle w:val="Heading1"/>
        <w:spacing w:before="240" w:after="100"/>
      </w:pPr>
      <w:r>
        <w:t>3. Which Personal Data We Collect</w:t>
      </w:r>
    </w:p>
    <w:p>
      <w:pPr>
        <w:spacing w:after="100"/>
      </w:pPr>
      <w:r>
        <w:rPr>
          <w:rFonts w:ascii="Arial" w:hAnsi="Arial"/>
          <w:sz w:val="21"/>
        </w:rPr>
        <w:t>The Controller collects only the personal data that is necessary for carrying out its activities, ensuring the safety of participants, communicating with clients, and fulfilling contractual and legal obligations.</w:t>
      </w:r>
    </w:p>
    <w:p>
      <w:pPr>
        <w:pStyle w:val="Heading2"/>
        <w:spacing w:before="160" w:after="60"/>
      </w:pPr>
      <w:r>
        <w:t>3.1 Enquiries and Communication</w:t>
      </w:r>
    </w:p>
    <w:p>
      <w:pPr>
        <w:spacing w:after="100"/>
      </w:pPr>
      <w:r>
        <w:rPr>
          <w:rFonts w:ascii="Arial" w:hAnsi="Arial"/>
          <w:sz w:val="21"/>
        </w:rPr>
        <w:t>When an individual submits an enquiry via a contact form, email, or another communication channel, the Controller may process:</w:t>
      </w:r>
    </w:p>
    <w:p>
      <w:pPr>
        <w:pStyle w:val="ListBullet"/>
        <w:spacing w:after="40"/>
      </w:pPr>
      <w:r>
        <w:rPr>
          <w:rFonts w:ascii="Arial" w:hAnsi="Arial"/>
          <w:sz w:val="21"/>
        </w:rPr>
        <w:t>name and surname,</w:t>
      </w:r>
    </w:p>
    <w:p>
      <w:pPr>
        <w:pStyle w:val="ListBullet"/>
        <w:spacing w:after="40"/>
      </w:pPr>
      <w:r>
        <w:rPr>
          <w:rFonts w:ascii="Arial" w:hAnsi="Arial"/>
          <w:sz w:val="21"/>
        </w:rPr>
        <w:t>email address,</w:t>
      </w:r>
    </w:p>
    <w:p>
      <w:pPr>
        <w:pStyle w:val="ListBullet"/>
        <w:spacing w:after="40"/>
      </w:pPr>
      <w:r>
        <w:rPr>
          <w:rFonts w:ascii="Arial" w:hAnsi="Arial"/>
          <w:sz w:val="21"/>
        </w:rPr>
        <w:t>telephone number,</w:t>
      </w:r>
    </w:p>
    <w:p>
      <w:pPr>
        <w:pStyle w:val="ListBullet"/>
        <w:spacing w:after="40"/>
      </w:pPr>
      <w:r>
        <w:rPr>
          <w:rFonts w:ascii="Arial" w:hAnsi="Arial"/>
          <w:sz w:val="21"/>
        </w:rPr>
        <w:t>company or organization name,</w:t>
      </w:r>
    </w:p>
    <w:p>
      <w:pPr>
        <w:pStyle w:val="ListBullet"/>
        <w:spacing w:after="40"/>
      </w:pPr>
      <w:r>
        <w:rPr>
          <w:rFonts w:ascii="Arial" w:hAnsi="Arial"/>
          <w:sz w:val="21"/>
        </w:rPr>
        <w:t>content of the communication,</w:t>
      </w:r>
    </w:p>
    <w:p>
      <w:pPr>
        <w:pStyle w:val="ListBullet"/>
        <w:spacing w:after="40"/>
      </w:pPr>
      <w:r>
        <w:rPr>
          <w:rFonts w:ascii="Arial" w:hAnsi="Arial"/>
          <w:sz w:val="21"/>
        </w:rPr>
        <w:t>other data voluntarily provided by the individual.</w:t>
      </w:r>
    </w:p>
    <w:p>
      <w:pPr>
        <w:pStyle w:val="Heading2"/>
        <w:spacing w:before="160" w:after="60"/>
      </w:pPr>
      <w:r>
        <w:t>3.2 Clients of Services</w:t>
      </w:r>
    </w:p>
    <w:p>
      <w:pPr>
        <w:spacing w:after="100"/>
      </w:pPr>
      <w:r>
        <w:rPr>
          <w:rFonts w:ascii="Arial" w:hAnsi="Arial"/>
          <w:sz w:val="21"/>
        </w:rPr>
        <w:t>When preparing offers, concluding contracts, and providing services, the Controller may process:</w:t>
      </w:r>
    </w:p>
    <w:p>
      <w:pPr>
        <w:pStyle w:val="ListBullet"/>
        <w:spacing w:after="40"/>
      </w:pPr>
      <w:r>
        <w:rPr>
          <w:rFonts w:ascii="Arial" w:hAnsi="Arial"/>
          <w:sz w:val="21"/>
        </w:rPr>
        <w:t>name and surname,</w:t>
      </w:r>
    </w:p>
    <w:p>
      <w:pPr>
        <w:pStyle w:val="ListBullet"/>
        <w:spacing w:after="40"/>
      </w:pPr>
      <w:r>
        <w:rPr>
          <w:rFonts w:ascii="Arial" w:hAnsi="Arial"/>
          <w:sz w:val="21"/>
        </w:rPr>
        <w:t>address,</w:t>
      </w:r>
    </w:p>
    <w:p>
      <w:pPr>
        <w:pStyle w:val="ListBullet"/>
        <w:spacing w:after="40"/>
      </w:pPr>
      <w:r>
        <w:rPr>
          <w:rFonts w:ascii="Arial" w:hAnsi="Arial"/>
          <w:sz w:val="21"/>
        </w:rPr>
        <w:t>contact details,</w:t>
      </w:r>
    </w:p>
    <w:p>
      <w:pPr>
        <w:pStyle w:val="ListBullet"/>
        <w:spacing w:after="40"/>
      </w:pPr>
      <w:r>
        <w:rPr>
          <w:rFonts w:ascii="Arial" w:hAnsi="Arial"/>
          <w:sz w:val="21"/>
        </w:rPr>
        <w:t>company or organization data,</w:t>
      </w:r>
    </w:p>
    <w:p>
      <w:pPr>
        <w:pStyle w:val="ListBullet"/>
        <w:spacing w:after="40"/>
      </w:pPr>
      <w:r>
        <w:rPr>
          <w:rFonts w:ascii="Arial" w:hAnsi="Arial"/>
          <w:sz w:val="21"/>
        </w:rPr>
        <w:t>tax data where necessary for issuing invoices,</w:t>
      </w:r>
    </w:p>
    <w:p>
      <w:pPr>
        <w:pStyle w:val="ListBullet"/>
        <w:spacing w:after="40"/>
      </w:pPr>
      <w:r>
        <w:rPr>
          <w:rFonts w:ascii="Arial" w:hAnsi="Arial"/>
          <w:sz w:val="21"/>
        </w:rPr>
        <w:t>data related to the performance of a project or service.</w:t>
      </w:r>
    </w:p>
    <w:p>
      <w:pPr>
        <w:pStyle w:val="Heading2"/>
        <w:spacing w:before="160" w:after="60"/>
      </w:pPr>
      <w:r>
        <w:t>3.3 Participants in Activities</w:t>
      </w:r>
    </w:p>
    <w:p>
      <w:pPr>
        <w:spacing w:after="100"/>
      </w:pPr>
      <w:r>
        <w:rPr>
          <w:rFonts w:ascii="Arial" w:hAnsi="Arial"/>
          <w:sz w:val="21"/>
        </w:rPr>
        <w:t>When registering for guided tours, training sessions, workshops, or other activities, the Controller may collect:</w:t>
      </w:r>
    </w:p>
    <w:p>
      <w:pPr>
        <w:pStyle w:val="ListBullet"/>
        <w:spacing w:after="40"/>
      </w:pPr>
      <w:r>
        <w:rPr>
          <w:rFonts w:ascii="Arial" w:hAnsi="Arial"/>
          <w:sz w:val="21"/>
        </w:rPr>
        <w:t>name and surname,</w:t>
      </w:r>
    </w:p>
    <w:p>
      <w:pPr>
        <w:pStyle w:val="ListBullet"/>
        <w:spacing w:after="40"/>
      </w:pPr>
      <w:r>
        <w:rPr>
          <w:rFonts w:ascii="Arial" w:hAnsi="Arial"/>
          <w:sz w:val="21"/>
        </w:rPr>
        <w:t>contact details,</w:t>
      </w:r>
    </w:p>
    <w:p>
      <w:pPr>
        <w:pStyle w:val="ListBullet"/>
        <w:spacing w:after="40"/>
      </w:pPr>
      <w:r>
        <w:rPr>
          <w:rFonts w:ascii="Arial" w:hAnsi="Arial"/>
          <w:sz w:val="21"/>
        </w:rPr>
        <w:t>data on the selected activity,</w:t>
      </w:r>
    </w:p>
    <w:p>
      <w:pPr>
        <w:pStyle w:val="ListBullet"/>
        <w:spacing w:after="40"/>
      </w:pPr>
      <w:r>
        <w:rPr>
          <w:rFonts w:ascii="Arial" w:hAnsi="Arial"/>
          <w:sz w:val="21"/>
        </w:rPr>
        <w:t>data on previous experience,</w:t>
      </w:r>
    </w:p>
    <w:p>
      <w:pPr>
        <w:pStyle w:val="ListBullet"/>
        <w:spacing w:after="40"/>
      </w:pPr>
      <w:r>
        <w:rPr>
          <w:rFonts w:ascii="Arial" w:hAnsi="Arial"/>
          <w:sz w:val="21"/>
        </w:rPr>
        <w:t>data on qualifications,</w:t>
      </w:r>
    </w:p>
    <w:p>
      <w:pPr>
        <w:pStyle w:val="ListBullet"/>
        <w:spacing w:after="40"/>
      </w:pPr>
      <w:r>
        <w:rPr>
          <w:rFonts w:ascii="Arial" w:hAnsi="Arial"/>
          <w:sz w:val="21"/>
        </w:rPr>
        <w:t>data on physical fitness,</w:t>
      </w:r>
    </w:p>
    <w:p>
      <w:pPr>
        <w:pStyle w:val="ListBullet"/>
        <w:spacing w:after="40"/>
      </w:pPr>
      <w:r>
        <w:rPr>
          <w:rFonts w:ascii="Arial" w:hAnsi="Arial"/>
          <w:sz w:val="21"/>
        </w:rPr>
        <w:t>data on circumstances that may affect the safe performance of the activity,</w:t>
      </w:r>
    </w:p>
    <w:p>
      <w:pPr>
        <w:pStyle w:val="ListBullet"/>
        <w:spacing w:after="40"/>
      </w:pPr>
      <w:r>
        <w:rPr>
          <w:rFonts w:ascii="Arial" w:hAnsi="Arial"/>
          <w:sz w:val="21"/>
        </w:rPr>
        <w:t>contact details of a person to be contacted in case of an accident or other emergency (ICE - In Case of Emergency).</w:t>
      </w:r>
    </w:p>
    <w:p>
      <w:pPr>
        <w:spacing w:after="100"/>
      </w:pPr>
      <w:r>
        <w:rPr>
          <w:rFonts w:ascii="Arial" w:hAnsi="Arial"/>
          <w:sz w:val="21"/>
        </w:rPr>
        <w:t>The Controller collects only data that is necessary for the organization, performance, and safe execution of the individual activity.</w:t>
      </w:r>
    </w:p>
    <w:p>
      <w:pPr>
        <w:pStyle w:val="Heading2"/>
        <w:spacing w:before="160" w:after="60"/>
      </w:pPr>
      <w:r>
        <w:t>3.4 Technical Website Data</w:t>
      </w:r>
    </w:p>
    <w:p>
      <w:pPr>
        <w:spacing w:after="100"/>
      </w:pPr>
      <w:r>
        <w:rPr>
          <w:rFonts w:ascii="Arial" w:hAnsi="Arial"/>
          <w:sz w:val="21"/>
        </w:rPr>
        <w:t>When visiting the websites, certain technical data may be collected automatically, including:</w:t>
      </w:r>
    </w:p>
    <w:p>
      <w:pPr>
        <w:pStyle w:val="ListBullet"/>
        <w:spacing w:after="40"/>
      </w:pPr>
      <w:r>
        <w:rPr>
          <w:rFonts w:ascii="Arial" w:hAnsi="Arial"/>
          <w:sz w:val="21"/>
        </w:rPr>
        <w:t>IP address,</w:t>
      </w:r>
    </w:p>
    <w:p>
      <w:pPr>
        <w:pStyle w:val="ListBullet"/>
        <w:spacing w:after="40"/>
      </w:pPr>
      <w:r>
        <w:rPr>
          <w:rFonts w:ascii="Arial" w:hAnsi="Arial"/>
          <w:sz w:val="21"/>
        </w:rPr>
        <w:t>type and version of the web browser,</w:t>
      </w:r>
    </w:p>
    <w:p>
      <w:pPr>
        <w:pStyle w:val="ListBullet"/>
        <w:spacing w:after="40"/>
      </w:pPr>
      <w:r>
        <w:rPr>
          <w:rFonts w:ascii="Arial" w:hAnsi="Arial"/>
          <w:sz w:val="21"/>
        </w:rPr>
        <w:t>operating system,</w:t>
      </w:r>
    </w:p>
    <w:p>
      <w:pPr>
        <w:pStyle w:val="ListBullet"/>
        <w:spacing w:after="40"/>
      </w:pPr>
      <w:r>
        <w:rPr>
          <w:rFonts w:ascii="Arial" w:hAnsi="Arial"/>
          <w:sz w:val="21"/>
        </w:rPr>
        <w:t>date and time of access,</w:t>
      </w:r>
    </w:p>
    <w:p>
      <w:pPr>
        <w:pStyle w:val="ListBullet"/>
        <w:spacing w:after="40"/>
      </w:pPr>
      <w:r>
        <w:rPr>
          <w:rFonts w:ascii="Arial" w:hAnsi="Arial"/>
          <w:sz w:val="21"/>
        </w:rPr>
        <w:t>visited subpages,</w:t>
      </w:r>
    </w:p>
    <w:p>
      <w:pPr>
        <w:pStyle w:val="ListBullet"/>
        <w:spacing w:after="40"/>
      </w:pPr>
      <w:r>
        <w:rPr>
          <w:rFonts w:ascii="Arial" w:hAnsi="Arial"/>
          <w:sz w:val="21"/>
        </w:rPr>
        <w:t>duration of the visit,</w:t>
      </w:r>
    </w:p>
    <w:p>
      <w:pPr>
        <w:pStyle w:val="ListBullet"/>
        <w:spacing w:after="40"/>
      </w:pPr>
      <w:r>
        <w:rPr>
          <w:rFonts w:ascii="Arial" w:hAnsi="Arial"/>
          <w:sz w:val="21"/>
        </w:rPr>
        <w:t>data on use of the website.</w:t>
      </w:r>
    </w:p>
    <w:p>
      <w:pPr>
        <w:spacing w:after="100"/>
      </w:pPr>
      <w:r>
        <w:rPr>
          <w:rFonts w:ascii="Arial" w:hAnsi="Arial"/>
          <w:sz w:val="21"/>
        </w:rPr>
        <w:t>This data is used primarily to ensure the operation of the website, perform statistical analysis, and improve the user experience.</w:t>
      </w:r>
    </w:p>
    <w:p>
      <w:pPr>
        <w:spacing w:after="100"/>
      </w:pPr>
      <w:r>
        <w:rPr>
          <w:rFonts w:ascii="Arial" w:hAnsi="Arial"/>
          <w:sz w:val="21"/>
        </w:rPr>
        <w:t>Where possible, data is processed in anonymized or aggregated form.</w:t>
      </w:r>
    </w:p>
    <w:p>
      <w:pPr>
        <w:pStyle w:val="Heading1"/>
        <w:spacing w:before="240" w:after="100"/>
      </w:pPr>
      <w:r>
        <w:t>4. Purposes of Personal Data Processing</w:t>
      </w:r>
    </w:p>
    <w:p>
      <w:pPr>
        <w:spacing w:after="100"/>
      </w:pPr>
      <w:r>
        <w:rPr>
          <w:rFonts w:ascii="Arial" w:hAnsi="Arial"/>
          <w:sz w:val="21"/>
        </w:rPr>
        <w:t>Personal data is processed for the following purposes:</w:t>
      </w:r>
    </w:p>
    <w:p>
      <w:pPr>
        <w:pStyle w:val="ListBullet"/>
        <w:spacing w:after="40"/>
      </w:pPr>
      <w:r>
        <w:rPr>
          <w:rFonts w:ascii="Arial" w:hAnsi="Arial"/>
          <w:sz w:val="21"/>
        </w:rPr>
        <w:t>responding to enquiries,</w:t>
      </w:r>
    </w:p>
    <w:p>
      <w:pPr>
        <w:pStyle w:val="ListBullet"/>
        <w:spacing w:after="40"/>
      </w:pPr>
      <w:r>
        <w:rPr>
          <w:rFonts w:ascii="Arial" w:hAnsi="Arial"/>
          <w:sz w:val="21"/>
        </w:rPr>
        <w:t>preparing offers,</w:t>
      </w:r>
    </w:p>
    <w:p>
      <w:pPr>
        <w:pStyle w:val="ListBullet"/>
        <w:spacing w:after="40"/>
      </w:pPr>
      <w:r>
        <w:rPr>
          <w:rFonts w:ascii="Arial" w:hAnsi="Arial"/>
          <w:sz w:val="21"/>
        </w:rPr>
        <w:t>concluding and performing contracts,</w:t>
      </w:r>
    </w:p>
    <w:p>
      <w:pPr>
        <w:pStyle w:val="ListBullet"/>
        <w:spacing w:after="40"/>
      </w:pPr>
      <w:r>
        <w:rPr>
          <w:rFonts w:ascii="Arial" w:hAnsi="Arial"/>
          <w:sz w:val="21"/>
        </w:rPr>
        <w:t>providing ordered services,</w:t>
      </w:r>
    </w:p>
    <w:p>
      <w:pPr>
        <w:pStyle w:val="ListBullet"/>
        <w:spacing w:after="40"/>
      </w:pPr>
      <w:r>
        <w:rPr>
          <w:rFonts w:ascii="Arial" w:hAnsi="Arial"/>
          <w:sz w:val="21"/>
        </w:rPr>
        <w:t>organizing and carrying out activities,</w:t>
      </w:r>
    </w:p>
    <w:p>
      <w:pPr>
        <w:pStyle w:val="ListBullet"/>
        <w:spacing w:after="40"/>
      </w:pPr>
      <w:r>
        <w:rPr>
          <w:rFonts w:ascii="Arial" w:hAnsi="Arial"/>
          <w:sz w:val="21"/>
        </w:rPr>
        <w:t>ensuring the safety of participants,</w:t>
      </w:r>
    </w:p>
    <w:p>
      <w:pPr>
        <w:pStyle w:val="ListBullet"/>
        <w:spacing w:after="40"/>
      </w:pPr>
      <w:r>
        <w:rPr>
          <w:rFonts w:ascii="Arial" w:hAnsi="Arial"/>
          <w:sz w:val="21"/>
        </w:rPr>
        <w:t>organizing production and photography projects,</w:t>
      </w:r>
    </w:p>
    <w:p>
      <w:pPr>
        <w:pStyle w:val="ListBullet"/>
        <w:spacing w:after="40"/>
      </w:pPr>
      <w:r>
        <w:rPr>
          <w:rFonts w:ascii="Arial" w:hAnsi="Arial"/>
          <w:sz w:val="21"/>
        </w:rPr>
        <w:t>providing consulting services,</w:t>
      </w:r>
    </w:p>
    <w:p>
      <w:pPr>
        <w:pStyle w:val="ListBullet"/>
        <w:spacing w:after="40"/>
      </w:pPr>
      <w:r>
        <w:rPr>
          <w:rFonts w:ascii="Arial" w:hAnsi="Arial"/>
          <w:sz w:val="21"/>
        </w:rPr>
        <w:t>communicating with clients,</w:t>
      </w:r>
    </w:p>
    <w:p>
      <w:pPr>
        <w:pStyle w:val="ListBullet"/>
        <w:spacing w:after="40"/>
      </w:pPr>
      <w:r>
        <w:rPr>
          <w:rFonts w:ascii="Arial" w:hAnsi="Arial"/>
          <w:sz w:val="21"/>
        </w:rPr>
        <w:t>issuing invoices,</w:t>
      </w:r>
    </w:p>
    <w:p>
      <w:pPr>
        <w:pStyle w:val="ListBullet"/>
        <w:spacing w:after="40"/>
      </w:pPr>
      <w:r>
        <w:rPr>
          <w:rFonts w:ascii="Arial" w:hAnsi="Arial"/>
          <w:sz w:val="21"/>
        </w:rPr>
        <w:t>fulfilling legal obligations,</w:t>
      </w:r>
    </w:p>
    <w:p>
      <w:pPr>
        <w:pStyle w:val="ListBullet"/>
        <w:spacing w:after="40"/>
      </w:pPr>
      <w:r>
        <w:rPr>
          <w:rFonts w:ascii="Arial" w:hAnsi="Arial"/>
          <w:sz w:val="21"/>
        </w:rPr>
        <w:t>protecting the rights and legitimate interests of the Controller,</w:t>
      </w:r>
    </w:p>
    <w:p>
      <w:pPr>
        <w:pStyle w:val="ListBullet"/>
        <w:spacing w:after="40"/>
      </w:pPr>
      <w:r>
        <w:rPr>
          <w:rFonts w:ascii="Arial" w:hAnsi="Arial"/>
          <w:sz w:val="21"/>
        </w:rPr>
        <w:t>improving the operation of the websites.</w:t>
      </w:r>
    </w:p>
    <w:p>
      <w:pPr>
        <w:spacing w:after="100"/>
      </w:pPr>
      <w:r>
        <w:rPr>
          <w:rFonts w:ascii="Arial" w:hAnsi="Arial"/>
          <w:sz w:val="21"/>
        </w:rPr>
        <w:t>The Controller does not use personal data for mass direct marketing, user profiling, or automated decision-making.</w:t>
      </w:r>
    </w:p>
    <w:p>
      <w:pPr>
        <w:pStyle w:val="Heading1"/>
        <w:spacing w:before="240" w:after="100"/>
      </w:pPr>
      <w:r>
        <w:t>5. Legal Bases for Processing</w:t>
      </w:r>
    </w:p>
    <w:p>
      <w:pPr>
        <w:spacing w:after="100"/>
      </w:pPr>
      <w:r>
        <w:rPr>
          <w:rFonts w:ascii="Arial" w:hAnsi="Arial"/>
          <w:sz w:val="21"/>
        </w:rPr>
        <w:t>The Controller processes personal data on one or more of the following legal bases:</w:t>
      </w:r>
    </w:p>
    <w:p>
      <w:pPr>
        <w:pStyle w:val="Heading2"/>
        <w:spacing w:before="160" w:after="60"/>
      </w:pPr>
      <w:r>
        <w:t>Performance of a Contract</w:t>
      </w:r>
    </w:p>
    <w:p>
      <w:pPr>
        <w:spacing w:after="100"/>
      </w:pPr>
      <w:r>
        <w:rPr>
          <w:rFonts w:ascii="Arial" w:hAnsi="Arial"/>
          <w:sz w:val="21"/>
        </w:rPr>
        <w:t>Where processing is necessary for preparing an offer, providing an ordered service, or performing a contractual relationship.</w:t>
      </w:r>
    </w:p>
    <w:p>
      <w:pPr>
        <w:pStyle w:val="Heading2"/>
        <w:spacing w:before="160" w:after="60"/>
      </w:pPr>
      <w:r>
        <w:t>Compliance with Legal Obligations</w:t>
      </w:r>
    </w:p>
    <w:p>
      <w:pPr>
        <w:spacing w:after="100"/>
      </w:pPr>
      <w:r>
        <w:rPr>
          <w:rFonts w:ascii="Arial" w:hAnsi="Arial"/>
          <w:sz w:val="21"/>
        </w:rPr>
        <w:t>Where processing is required by applicable regulations, primarily tax, accounting, and other legislation.</w:t>
      </w:r>
    </w:p>
    <w:p>
      <w:pPr>
        <w:pStyle w:val="Heading2"/>
        <w:spacing w:before="160" w:after="60"/>
      </w:pPr>
      <w:r>
        <w:t>Legitimate Interest</w:t>
      </w:r>
    </w:p>
    <w:p>
      <w:pPr>
        <w:spacing w:after="100"/>
      </w:pPr>
      <w:r>
        <w:rPr>
          <w:rFonts w:ascii="Arial" w:hAnsi="Arial"/>
          <w:sz w:val="21"/>
        </w:rPr>
        <w:t>Where processing is necessary for the lawful operation of the Controller, protection of the Controller’s rights, ensuring the safety of activities, documenting services performed, or protecting property.</w:t>
      </w:r>
    </w:p>
    <w:p>
      <w:pPr>
        <w:pStyle w:val="Heading2"/>
        <w:spacing w:before="160" w:after="60"/>
      </w:pPr>
      <w:r>
        <w:t>Consent of the Individual</w:t>
      </w:r>
    </w:p>
    <w:p>
      <w:pPr>
        <w:spacing w:after="100"/>
      </w:pPr>
      <w:r>
        <w:rPr>
          <w:rFonts w:ascii="Arial" w:hAnsi="Arial"/>
          <w:sz w:val="21"/>
        </w:rPr>
        <w:t>Where the law requires the individual’s prior consent or where the Controller carries out processing on the basis of voluntary consent.</w:t>
      </w:r>
    </w:p>
    <w:p>
      <w:pPr>
        <w:spacing w:after="100"/>
      </w:pPr>
      <w:r>
        <w:rPr>
          <w:rFonts w:ascii="Arial" w:hAnsi="Arial"/>
          <w:sz w:val="21"/>
        </w:rPr>
        <w:t>The individual may withdraw consent at any time, without affecting the lawfulness of processing carried out before the withdrawal.</w:t>
      </w:r>
    </w:p>
    <w:p>
      <w:pPr>
        <w:pStyle w:val="Heading1"/>
        <w:spacing w:before="240" w:after="100"/>
      </w:pPr>
      <w:r>
        <w:t>6. Outdoor Activities and Ensuring Safety</w:t>
      </w:r>
    </w:p>
    <w:p>
      <w:pPr>
        <w:spacing w:after="100"/>
      </w:pPr>
      <w:r>
        <w:rPr>
          <w:rFonts w:ascii="Arial" w:hAnsi="Arial"/>
          <w:sz w:val="21"/>
        </w:rPr>
        <w:t>Activities in natural and mountain environments require particular attention to participant safety.</w:t>
      </w:r>
    </w:p>
    <w:p>
      <w:pPr>
        <w:spacing w:after="100"/>
      </w:pPr>
      <w:r>
        <w:rPr>
          <w:rFonts w:ascii="Arial" w:hAnsi="Arial"/>
          <w:sz w:val="21"/>
        </w:rPr>
        <w:t>For the purposes of planning and carrying out activities, the Controller may collect data that is necessary for:</w:t>
      </w:r>
    </w:p>
    <w:p>
      <w:pPr>
        <w:pStyle w:val="ListBullet"/>
        <w:spacing w:after="40"/>
      </w:pPr>
      <w:r>
        <w:rPr>
          <w:rFonts w:ascii="Arial" w:hAnsi="Arial"/>
          <w:sz w:val="21"/>
        </w:rPr>
        <w:t>assessing suitability for participation,</w:t>
      </w:r>
    </w:p>
    <w:p>
      <w:pPr>
        <w:pStyle w:val="ListBullet"/>
        <w:spacing w:after="40"/>
      </w:pPr>
      <w:r>
        <w:rPr>
          <w:rFonts w:ascii="Arial" w:hAnsi="Arial"/>
          <w:sz w:val="21"/>
        </w:rPr>
        <w:t>assessing the difficulty of the activity,</w:t>
      </w:r>
    </w:p>
    <w:p>
      <w:pPr>
        <w:pStyle w:val="ListBullet"/>
        <w:spacing w:after="40"/>
      </w:pPr>
      <w:r>
        <w:rPr>
          <w:rFonts w:ascii="Arial" w:hAnsi="Arial"/>
          <w:sz w:val="21"/>
        </w:rPr>
        <w:t>organizing the group,</w:t>
      </w:r>
    </w:p>
    <w:p>
      <w:pPr>
        <w:pStyle w:val="ListBullet"/>
        <w:spacing w:after="40"/>
      </w:pPr>
      <w:r>
        <w:rPr>
          <w:rFonts w:ascii="Arial" w:hAnsi="Arial"/>
          <w:sz w:val="21"/>
        </w:rPr>
        <w:t>planning safety measures,</w:t>
      </w:r>
    </w:p>
    <w:p>
      <w:pPr>
        <w:pStyle w:val="ListBullet"/>
        <w:spacing w:after="40"/>
      </w:pPr>
      <w:r>
        <w:rPr>
          <w:rFonts w:ascii="Arial" w:hAnsi="Arial"/>
          <w:sz w:val="21"/>
        </w:rPr>
        <w:t>responding in the event of an accident or other emergency.</w:t>
      </w:r>
    </w:p>
    <w:p>
      <w:pPr>
        <w:spacing w:after="100"/>
      </w:pPr>
      <w:r>
        <w:rPr>
          <w:rFonts w:ascii="Arial" w:hAnsi="Arial"/>
          <w:sz w:val="21"/>
        </w:rPr>
        <w:t>For individual activities, the Controller may also process data on health circumstances, injuries, limitations, allergies, medication, physical fitness, or other circumstances where such data is strictly necessary for the safe planning and performance of the activity.</w:t>
      </w:r>
    </w:p>
    <w:p>
      <w:pPr>
        <w:spacing w:after="100"/>
      </w:pPr>
      <w:r>
        <w:rPr>
          <w:rFonts w:ascii="Arial" w:hAnsi="Arial"/>
          <w:sz w:val="21"/>
        </w:rPr>
        <w:t>Such data is processed only to the minimum extent necessary and exclusively for the purpose of ensuring the safety of the participant, other participants, and appropriate response in the event of an accident or other emergency.</w:t>
      </w:r>
    </w:p>
    <w:p>
      <w:pPr>
        <w:spacing w:after="100"/>
      </w:pPr>
      <w:r>
        <w:rPr>
          <w:rFonts w:ascii="Arial" w:hAnsi="Arial"/>
          <w:sz w:val="21"/>
        </w:rPr>
        <w:t>Where processing includes special categories of personal data within the meaning of applicable personal data protection legislation, the Controller processes such data on an appropriate legal basis, in particular on the basis of the individual’s explicit consent where required, or where processing is necessary to protect the vital interests of the individual or another person in emergency situations.</w:t>
      </w:r>
    </w:p>
    <w:p>
      <w:pPr>
        <w:spacing w:after="100"/>
      </w:pPr>
      <w:r>
        <w:rPr>
          <w:rFonts w:ascii="Arial" w:hAnsi="Arial"/>
          <w:sz w:val="21"/>
        </w:rPr>
        <w:t>By submitting an enquiry, I consent that 103, Filmska produkcija in sport, Jure Niedorfer s.p., may process, for the purpose of the safe organization and performance of activities, data on circumstances that may affect my safety or the safety of the group, including information that I voluntarily provide in the registration form.</w:t>
      </w:r>
    </w:p>
    <w:p>
      <w:pPr>
        <w:spacing w:after="100"/>
      </w:pPr>
      <w:r>
        <w:rPr>
          <w:rFonts w:ascii="Arial" w:hAnsi="Arial"/>
          <w:sz w:val="21"/>
        </w:rPr>
        <w:t>If the individual does not provide data that is necessary for the safe performance of an activity, the Controller may reject the registration or limit participation where the Controller assesses that the activity cannot be carried out safely.</w:t>
      </w:r>
    </w:p>
    <w:p>
      <w:pPr>
        <w:pStyle w:val="Heading1"/>
        <w:spacing w:before="240" w:after="100"/>
      </w:pPr>
      <w:r>
        <w:t>7. Photography and Filming</w:t>
      </w:r>
    </w:p>
    <w:p>
      <w:pPr>
        <w:spacing w:after="100"/>
      </w:pPr>
      <w:r>
        <w:rPr>
          <w:rFonts w:ascii="Arial" w:hAnsi="Arial"/>
          <w:sz w:val="21"/>
        </w:rPr>
        <w:t>During activities, projects, workshops, training sessions, or other events, the Controller may take photographs and make video recordings for the purpose of documenting the performance of activities, organizational purposes, safety purposes, presenting services performed, and promoting the activities of company 103.</w:t>
      </w:r>
    </w:p>
    <w:p>
      <w:pPr>
        <w:spacing w:after="100"/>
      </w:pPr>
      <w:r>
        <w:rPr>
          <w:rFonts w:ascii="Arial" w:hAnsi="Arial"/>
          <w:sz w:val="21"/>
        </w:rPr>
        <w:t>Photographs and videos in which an individual is not recognizable may be used for documentation, presentation of activities, and promotional purposes.</w:t>
      </w:r>
    </w:p>
    <w:p>
      <w:pPr>
        <w:spacing w:after="100"/>
      </w:pPr>
      <w:r>
        <w:rPr>
          <w:rFonts w:ascii="Arial" w:hAnsi="Arial"/>
          <w:sz w:val="21"/>
        </w:rPr>
        <w:t>The use of recognizable photographs or videos of adults for promotional, presentation, or reference purposes is based on the Controller’s legitimate interest in documenting and presenting its work. Before the start of an activity, event, or project, the individual may object to the use of recognizable photographs or videos of themselves for promotional purposes.</w:t>
      </w:r>
    </w:p>
    <w:p>
      <w:pPr>
        <w:spacing w:after="100"/>
      </w:pPr>
      <w:r>
        <w:rPr>
          <w:rFonts w:ascii="Arial" w:hAnsi="Arial"/>
          <w:sz w:val="21"/>
        </w:rPr>
        <w:t>Upon receipt of such objection, the Controller shall take reasonable measures to ensure that recognizable recordings of the individual are not used for promotional purposes.</w:t>
      </w:r>
    </w:p>
    <w:p>
      <w:pPr>
        <w:spacing w:after="100"/>
      </w:pPr>
      <w:r>
        <w:rPr>
          <w:rFonts w:ascii="Arial" w:hAnsi="Arial"/>
          <w:sz w:val="21"/>
        </w:rPr>
        <w:t>The use of recognizable photographs or videos of minors for promotional, presentation, or reference purposes is permitted only on the basis of the express consent of a parent or legal guardian.</w:t>
      </w:r>
    </w:p>
    <w:p>
      <w:pPr>
        <w:spacing w:after="100"/>
      </w:pPr>
      <w:r>
        <w:rPr>
          <w:rFonts w:ascii="Arial" w:hAnsi="Arial"/>
          <w:sz w:val="21"/>
        </w:rPr>
        <w:t>Photographs and videos may be used for:</w:t>
      </w:r>
    </w:p>
    <w:p>
      <w:pPr>
        <w:pStyle w:val="ListBullet"/>
        <w:spacing w:after="40"/>
      </w:pPr>
      <w:r>
        <w:rPr>
          <w:rFonts w:ascii="Arial" w:hAnsi="Arial"/>
          <w:sz w:val="21"/>
        </w:rPr>
        <w:t>documenting activities performed,</w:t>
      </w:r>
    </w:p>
    <w:p>
      <w:pPr>
        <w:pStyle w:val="ListBullet"/>
        <w:spacing w:after="40"/>
      </w:pPr>
      <w:r>
        <w:rPr>
          <w:rFonts w:ascii="Arial" w:hAnsi="Arial"/>
          <w:sz w:val="21"/>
        </w:rPr>
        <w:t>documenting projects,</w:t>
      </w:r>
    </w:p>
    <w:p>
      <w:pPr>
        <w:pStyle w:val="ListBullet"/>
        <w:spacing w:after="40"/>
      </w:pPr>
      <w:r>
        <w:rPr>
          <w:rFonts w:ascii="Arial" w:hAnsi="Arial"/>
          <w:sz w:val="21"/>
        </w:rPr>
        <w:t>presenting services performed,</w:t>
      </w:r>
    </w:p>
    <w:p>
      <w:pPr>
        <w:pStyle w:val="ListBullet"/>
        <w:spacing w:after="40"/>
      </w:pPr>
      <w:r>
        <w:rPr>
          <w:rFonts w:ascii="Arial" w:hAnsi="Arial"/>
          <w:sz w:val="21"/>
        </w:rPr>
        <w:t>presenting the activities of the company,</w:t>
      </w:r>
    </w:p>
    <w:p>
      <w:pPr>
        <w:pStyle w:val="ListBullet"/>
        <w:spacing w:after="40"/>
      </w:pPr>
      <w:r>
        <w:rPr>
          <w:rFonts w:ascii="Arial" w:hAnsi="Arial"/>
          <w:sz w:val="21"/>
        </w:rPr>
        <w:t>promoting the services of company 103.</w:t>
      </w:r>
    </w:p>
    <w:p>
      <w:pPr>
        <w:spacing w:after="100"/>
      </w:pPr>
      <w:r>
        <w:rPr>
          <w:rFonts w:ascii="Arial" w:hAnsi="Arial"/>
          <w:sz w:val="21"/>
        </w:rPr>
        <w:t>Such processing is based on the Controller’s legitimate interest in documenting and presenting its work.</w:t>
      </w:r>
    </w:p>
    <w:p>
      <w:pPr>
        <w:pStyle w:val="Heading1"/>
        <w:spacing w:before="240" w:after="100"/>
      </w:pPr>
      <w:r>
        <w:t>8. Production, Photography, and Consulting Services</w:t>
      </w:r>
    </w:p>
    <w:p>
      <w:pPr>
        <w:spacing w:after="100"/>
      </w:pPr>
      <w:r>
        <w:rPr>
          <w:rFonts w:ascii="Arial" w:hAnsi="Arial"/>
          <w:sz w:val="21"/>
        </w:rPr>
        <w:t>When providing production, photography, and consulting services, the Controller processes only the personal data that is necessary for:</w:t>
      </w:r>
    </w:p>
    <w:p>
      <w:pPr>
        <w:pStyle w:val="ListBullet"/>
        <w:spacing w:after="40"/>
      </w:pPr>
      <w:r>
        <w:rPr>
          <w:rFonts w:ascii="Arial" w:hAnsi="Arial"/>
          <w:sz w:val="21"/>
        </w:rPr>
        <w:t>preparing offers,</w:t>
      </w:r>
    </w:p>
    <w:p>
      <w:pPr>
        <w:pStyle w:val="ListBullet"/>
        <w:spacing w:after="40"/>
      </w:pPr>
      <w:r>
        <w:rPr>
          <w:rFonts w:ascii="Arial" w:hAnsi="Arial"/>
          <w:sz w:val="21"/>
        </w:rPr>
        <w:t>preparing contracts,</w:t>
      </w:r>
    </w:p>
    <w:p>
      <w:pPr>
        <w:pStyle w:val="ListBullet"/>
        <w:spacing w:after="40"/>
      </w:pPr>
      <w:r>
        <w:rPr>
          <w:rFonts w:ascii="Arial" w:hAnsi="Arial"/>
          <w:sz w:val="21"/>
        </w:rPr>
        <w:t>organizing the project,</w:t>
      </w:r>
    </w:p>
    <w:p>
      <w:pPr>
        <w:pStyle w:val="ListBullet"/>
        <w:spacing w:after="40"/>
      </w:pPr>
      <w:r>
        <w:rPr>
          <w:rFonts w:ascii="Arial" w:hAnsi="Arial"/>
          <w:sz w:val="21"/>
        </w:rPr>
        <w:t>communicating with the client,</w:t>
      </w:r>
    </w:p>
    <w:p>
      <w:pPr>
        <w:pStyle w:val="ListBullet"/>
        <w:spacing w:after="40"/>
      </w:pPr>
      <w:r>
        <w:rPr>
          <w:rFonts w:ascii="Arial" w:hAnsi="Arial"/>
          <w:sz w:val="21"/>
        </w:rPr>
        <w:t>performing the services,</w:t>
      </w:r>
    </w:p>
    <w:p>
      <w:pPr>
        <w:pStyle w:val="ListBullet"/>
        <w:spacing w:after="40"/>
      </w:pPr>
      <w:r>
        <w:rPr>
          <w:rFonts w:ascii="Arial" w:hAnsi="Arial"/>
          <w:sz w:val="21"/>
        </w:rPr>
        <w:t>billing for the services,</w:t>
      </w:r>
    </w:p>
    <w:p>
      <w:pPr>
        <w:pStyle w:val="ListBullet"/>
        <w:spacing w:after="40"/>
      </w:pPr>
      <w:r>
        <w:rPr>
          <w:rFonts w:ascii="Arial" w:hAnsi="Arial"/>
          <w:sz w:val="21"/>
        </w:rPr>
        <w:t>fulfilling contractual obligations.</w:t>
      </w:r>
    </w:p>
    <w:p>
      <w:pPr>
        <w:spacing w:after="100"/>
      </w:pPr>
      <w:r>
        <w:rPr>
          <w:rFonts w:ascii="Arial" w:hAnsi="Arial"/>
          <w:sz w:val="21"/>
        </w:rPr>
        <w:t>The data is used exclusively for the performance of services and is not disclosed to third parties, except where this is necessary for the performance of the project, fulfillment of legal obligations, or where another appropriate legal basis exists.</w:t>
      </w:r>
    </w:p>
    <w:p>
      <w:pPr>
        <w:pStyle w:val="Heading1"/>
        <w:spacing w:before="240" w:after="100"/>
      </w:pPr>
      <w:r>
        <w:t>9. Storage of Personal Data</w:t>
      </w:r>
    </w:p>
    <w:p>
      <w:pPr>
        <w:spacing w:after="100"/>
      </w:pPr>
      <w:r>
        <w:rPr>
          <w:rFonts w:ascii="Arial" w:hAnsi="Arial"/>
          <w:sz w:val="21"/>
        </w:rPr>
        <w:t>The Controller stores personal data only for as long as is necessary to achieve the purpose for which the data was collected, or for as long as required by applicable regulations.</w:t>
      </w:r>
    </w:p>
    <w:p>
      <w:pPr>
        <w:spacing w:after="100"/>
      </w:pPr>
      <w:r>
        <w:rPr>
          <w:rFonts w:ascii="Arial" w:hAnsi="Arial"/>
          <w:sz w:val="21"/>
        </w:rPr>
        <w:t>As a rule, the following retention periods apply:</w:t>
      </w:r>
    </w:p>
    <w:p>
      <w:pPr>
        <w:pStyle w:val="Heading2"/>
        <w:spacing w:before="160" w:after="60"/>
      </w:pPr>
      <w:r>
        <w:t>Enquiries</w:t>
      </w:r>
    </w:p>
    <w:p>
      <w:pPr>
        <w:spacing w:after="100"/>
      </w:pPr>
      <w:r>
        <w:rPr>
          <w:rFonts w:ascii="Arial" w:hAnsi="Arial"/>
          <w:sz w:val="21"/>
        </w:rPr>
        <w:t>Enquiries that do not result in business cooperation are stored for a maximum of 12 months from the conclusion of communication.</w:t>
      </w:r>
    </w:p>
    <w:p>
      <w:pPr>
        <w:pStyle w:val="Heading2"/>
        <w:spacing w:before="160" w:after="60"/>
      </w:pPr>
      <w:r>
        <w:t>Business Documentation</w:t>
      </w:r>
    </w:p>
    <w:p>
      <w:pPr>
        <w:spacing w:after="100"/>
      </w:pPr>
      <w:r>
        <w:rPr>
          <w:rFonts w:ascii="Arial" w:hAnsi="Arial"/>
          <w:sz w:val="21"/>
        </w:rPr>
        <w:t>Contracts, invoices, offers, registrations for activities, and other business documentation are stored for up to 10 years or in accordance with applicable legislation.</w:t>
      </w:r>
    </w:p>
    <w:p>
      <w:pPr>
        <w:pStyle w:val="Heading2"/>
        <w:spacing w:before="160" w:after="60"/>
      </w:pPr>
      <w:r>
        <w:t>Activity Documentation</w:t>
      </w:r>
    </w:p>
    <w:p>
      <w:pPr>
        <w:spacing w:after="100"/>
      </w:pPr>
      <w:r>
        <w:rPr>
          <w:rFonts w:ascii="Arial" w:hAnsi="Arial"/>
          <w:sz w:val="21"/>
        </w:rPr>
        <w:t>Data related to the performance of activities may be stored for as long as necessary for:</w:t>
      </w:r>
    </w:p>
    <w:p>
      <w:pPr>
        <w:pStyle w:val="ListBullet"/>
        <w:spacing w:after="40"/>
      </w:pPr>
      <w:r>
        <w:rPr>
          <w:rFonts w:ascii="Arial" w:hAnsi="Arial"/>
          <w:sz w:val="21"/>
        </w:rPr>
        <w:t>proving the performance of the service,</w:t>
      </w:r>
    </w:p>
    <w:p>
      <w:pPr>
        <w:pStyle w:val="ListBullet"/>
        <w:spacing w:after="40"/>
      </w:pPr>
      <w:r>
        <w:rPr>
          <w:rFonts w:ascii="Arial" w:hAnsi="Arial"/>
          <w:sz w:val="21"/>
        </w:rPr>
        <w:t>handling complaints,</w:t>
      </w:r>
    </w:p>
    <w:p>
      <w:pPr>
        <w:pStyle w:val="ListBullet"/>
        <w:spacing w:after="40"/>
      </w:pPr>
      <w:r>
        <w:rPr>
          <w:rFonts w:ascii="Arial" w:hAnsi="Arial"/>
          <w:sz w:val="21"/>
        </w:rPr>
        <w:t>insurance procedures,</w:t>
      </w:r>
    </w:p>
    <w:p>
      <w:pPr>
        <w:pStyle w:val="ListBullet"/>
        <w:spacing w:after="40"/>
      </w:pPr>
      <w:r>
        <w:rPr>
          <w:rFonts w:ascii="Arial" w:hAnsi="Arial"/>
          <w:sz w:val="21"/>
        </w:rPr>
        <w:t>asserting or defending legal claims.</w:t>
      </w:r>
    </w:p>
    <w:p>
      <w:pPr>
        <w:spacing w:after="100"/>
      </w:pPr>
      <w:r>
        <w:rPr>
          <w:rFonts w:ascii="Arial" w:hAnsi="Arial"/>
          <w:sz w:val="21"/>
        </w:rPr>
        <w:t>Data related to the performance of activities, complaints, insurance procedures, or possible claims may be stored until expiry of the periods within which legal claims may be asserted or defended, or until completion of the relevant procedure if it lasts longer.</w:t>
      </w:r>
    </w:p>
    <w:p>
      <w:pPr>
        <w:pStyle w:val="Heading2"/>
        <w:spacing w:before="160" w:after="60"/>
      </w:pPr>
      <w:r>
        <w:t>Data Processed on the Basis of Consent</w:t>
      </w:r>
    </w:p>
    <w:p>
      <w:pPr>
        <w:spacing w:after="100"/>
      </w:pPr>
      <w:r>
        <w:rPr>
          <w:rFonts w:ascii="Arial" w:hAnsi="Arial"/>
          <w:sz w:val="21"/>
        </w:rPr>
        <w:t>Data processed on the basis of consent is stored until withdrawal of consent or until fulfillment of the purpose for which consent was given, unless another appropriate legal basis exists for further storage.</w:t>
      </w:r>
    </w:p>
    <w:p>
      <w:pPr>
        <w:pStyle w:val="Heading2"/>
        <w:spacing w:before="160" w:after="60"/>
      </w:pPr>
      <w:r>
        <w:t>Technical and Analytical Data</w:t>
      </w:r>
    </w:p>
    <w:p>
      <w:pPr>
        <w:spacing w:after="100"/>
      </w:pPr>
      <w:r>
        <w:rPr>
          <w:rFonts w:ascii="Arial" w:hAnsi="Arial"/>
          <w:sz w:val="21"/>
        </w:rPr>
        <w:t>Technical and analytical website data is stored in accordance with the settings of the individual tool or cookie, as stated in the Cookie Policy or cookie settings.</w:t>
      </w:r>
    </w:p>
    <w:p>
      <w:pPr>
        <w:pStyle w:val="Heading2"/>
        <w:spacing w:before="160" w:after="60"/>
      </w:pPr>
      <w:r>
        <w:t>Erasure, Destruction, or Anonymization</w:t>
      </w:r>
    </w:p>
    <w:p>
      <w:pPr>
        <w:spacing w:after="100"/>
      </w:pPr>
      <w:r>
        <w:rPr>
          <w:rFonts w:ascii="Arial" w:hAnsi="Arial"/>
          <w:sz w:val="21"/>
        </w:rPr>
        <w:t>After expiry of the retention period, personal data is erased, destroyed, or anonymized, unless further storage is required by applicable legislation or is necessary for the assertion, exercise, or defense of legal claims.</w:t>
      </w:r>
    </w:p>
    <w:p>
      <w:pPr>
        <w:pStyle w:val="Heading1"/>
        <w:spacing w:before="240" w:after="100"/>
      </w:pPr>
      <w:r>
        <w:t>10. Processors</w:t>
      </w:r>
    </w:p>
    <w:p>
      <w:pPr>
        <w:spacing w:after="100"/>
      </w:pPr>
      <w:r>
        <w:rPr>
          <w:rFonts w:ascii="Arial" w:hAnsi="Arial"/>
          <w:sz w:val="21"/>
        </w:rPr>
        <w:t>The Controller may use the following categories of processors:</w:t>
      </w:r>
    </w:p>
    <w:p>
      <w:pPr>
        <w:pStyle w:val="ListBullet"/>
        <w:spacing w:after="40"/>
      </w:pPr>
      <w:r>
        <w:rPr>
          <w:rFonts w:ascii="Arial" w:hAnsi="Arial"/>
          <w:sz w:val="21"/>
        </w:rPr>
        <w:t>website hosting providers,</w:t>
      </w:r>
    </w:p>
    <w:p>
      <w:pPr>
        <w:pStyle w:val="ListBullet"/>
        <w:spacing w:after="40"/>
      </w:pPr>
      <w:r>
        <w:rPr>
          <w:rFonts w:ascii="Arial" w:hAnsi="Arial"/>
          <w:sz w:val="21"/>
        </w:rPr>
        <w:t>email and office service providers, including Google Workspace or Gmail,</w:t>
      </w:r>
    </w:p>
    <w:p>
      <w:pPr>
        <w:pStyle w:val="ListBullet"/>
        <w:spacing w:after="40"/>
      </w:pPr>
      <w:r>
        <w:rPr>
          <w:rFonts w:ascii="Arial" w:hAnsi="Arial"/>
          <w:sz w:val="21"/>
        </w:rPr>
        <w:t>analytics service providers, including Google Analytics 4,</w:t>
      </w:r>
    </w:p>
    <w:p>
      <w:pPr>
        <w:pStyle w:val="ListBullet"/>
        <w:spacing w:after="40"/>
      </w:pPr>
      <w:r>
        <w:rPr>
          <w:rFonts w:ascii="Arial" w:hAnsi="Arial"/>
          <w:sz w:val="21"/>
        </w:rPr>
        <w:t>providers of tools for managing cookie consents,</w:t>
      </w:r>
    </w:p>
    <w:p>
      <w:pPr>
        <w:pStyle w:val="ListBullet"/>
        <w:spacing w:after="40"/>
      </w:pPr>
      <w:r>
        <w:rPr>
          <w:rFonts w:ascii="Arial" w:hAnsi="Arial"/>
          <w:sz w:val="21"/>
        </w:rPr>
        <w:t>accounting service providers,</w:t>
      </w:r>
    </w:p>
    <w:p>
      <w:pPr>
        <w:pStyle w:val="ListBullet"/>
        <w:spacing w:after="40"/>
      </w:pPr>
      <w:r>
        <w:rPr>
          <w:rFonts w:ascii="Arial" w:hAnsi="Arial"/>
          <w:sz w:val="21"/>
        </w:rPr>
        <w:t>external contractors where necessary for the performance of an ordered service or project.</w:t>
      </w:r>
    </w:p>
    <w:p>
      <w:pPr>
        <w:spacing w:after="100"/>
      </w:pPr>
      <w:r>
        <w:rPr>
          <w:rFonts w:ascii="Arial" w:hAnsi="Arial"/>
          <w:sz w:val="21"/>
        </w:rPr>
        <w:t>Where required by applicable law, the Controller enters into an appropriate personal data processing agreement with processors. Processors may process personal data only on the Controller’s instructions and only for the purposes for which the data was provided.</w:t>
      </w:r>
    </w:p>
    <w:p>
      <w:pPr>
        <w:pStyle w:val="Heading1"/>
        <w:spacing w:before="240" w:after="100"/>
      </w:pPr>
      <w:r>
        <w:t>11. Disclosure of Personal Data to Third Parties</w:t>
      </w:r>
    </w:p>
    <w:p>
      <w:pPr>
        <w:spacing w:after="100"/>
      </w:pPr>
      <w:r>
        <w:rPr>
          <w:rFonts w:ascii="Arial" w:hAnsi="Arial"/>
          <w:sz w:val="21"/>
        </w:rPr>
        <w:t>As a rule, the Controller does not sell, rent, or otherwise disclose personal data to third parties for their own marketing purposes.</w:t>
      </w:r>
    </w:p>
    <w:p>
      <w:pPr>
        <w:spacing w:after="100"/>
      </w:pPr>
      <w:r>
        <w:rPr>
          <w:rFonts w:ascii="Arial" w:hAnsi="Arial"/>
          <w:sz w:val="21"/>
        </w:rPr>
        <w:t>Personal data may be disclosed to:</w:t>
      </w:r>
    </w:p>
    <w:p>
      <w:pPr>
        <w:pStyle w:val="ListBullet"/>
        <w:spacing w:after="40"/>
      </w:pPr>
      <w:r>
        <w:rPr>
          <w:rFonts w:ascii="Arial" w:hAnsi="Arial"/>
          <w:sz w:val="21"/>
        </w:rPr>
        <w:t>processors,</w:t>
      </w:r>
    </w:p>
    <w:p>
      <w:pPr>
        <w:pStyle w:val="ListBullet"/>
        <w:spacing w:after="40"/>
      </w:pPr>
      <w:r>
        <w:rPr>
          <w:rFonts w:ascii="Arial" w:hAnsi="Arial"/>
          <w:sz w:val="21"/>
        </w:rPr>
        <w:t>state authorities where required by law,</w:t>
      </w:r>
    </w:p>
    <w:p>
      <w:pPr>
        <w:pStyle w:val="ListBullet"/>
        <w:spacing w:after="40"/>
      </w:pPr>
      <w:r>
        <w:rPr>
          <w:rFonts w:ascii="Arial" w:hAnsi="Arial"/>
          <w:sz w:val="21"/>
        </w:rPr>
        <w:t>insurance companies or other entities where necessary for handling claims,</w:t>
      </w:r>
    </w:p>
    <w:p>
      <w:pPr>
        <w:pStyle w:val="ListBullet"/>
        <w:spacing w:after="40"/>
      </w:pPr>
      <w:r>
        <w:rPr>
          <w:rFonts w:ascii="Arial" w:hAnsi="Arial"/>
          <w:sz w:val="21"/>
        </w:rPr>
        <w:t>emergency assistance providers or rescue services in the event of an accident or other emergency.</w:t>
      </w:r>
    </w:p>
    <w:p>
      <w:pPr>
        <w:spacing w:after="100"/>
      </w:pPr>
      <w:r>
        <w:rPr>
          <w:rFonts w:ascii="Arial" w:hAnsi="Arial"/>
          <w:sz w:val="21"/>
        </w:rPr>
        <w:t>Disclosure of data is always carried out to the minimum extent necessary.</w:t>
      </w:r>
    </w:p>
    <w:p>
      <w:pPr>
        <w:pStyle w:val="Heading1"/>
        <w:spacing w:before="240" w:after="100"/>
      </w:pPr>
      <w:r>
        <w:t>12. Google Analytics and Cookies</w:t>
      </w:r>
    </w:p>
    <w:p>
      <w:pPr>
        <w:spacing w:after="100"/>
      </w:pPr>
      <w:r>
        <w:rPr>
          <w:rFonts w:ascii="Arial" w:hAnsi="Arial"/>
          <w:sz w:val="21"/>
        </w:rPr>
        <w:t>The websites use Google Analytics 4 to monitor website use and improve the user experience.</w:t>
      </w:r>
    </w:p>
    <w:p>
      <w:pPr>
        <w:spacing w:after="100"/>
      </w:pPr>
      <w:r>
        <w:rPr>
          <w:rFonts w:ascii="Arial" w:hAnsi="Arial"/>
          <w:sz w:val="21"/>
        </w:rPr>
        <w:t>Google Analytics enables the collection of statistical data on website use, such as:</w:t>
      </w:r>
    </w:p>
    <w:p>
      <w:pPr>
        <w:pStyle w:val="ListBullet"/>
        <w:spacing w:after="40"/>
      </w:pPr>
      <w:r>
        <w:rPr>
          <w:rFonts w:ascii="Arial" w:hAnsi="Arial"/>
          <w:sz w:val="21"/>
        </w:rPr>
        <w:t>number of visits,</w:t>
      </w:r>
    </w:p>
    <w:p>
      <w:pPr>
        <w:pStyle w:val="ListBullet"/>
        <w:spacing w:after="40"/>
      </w:pPr>
      <w:r>
        <w:rPr>
          <w:rFonts w:ascii="Arial" w:hAnsi="Arial"/>
          <w:sz w:val="21"/>
        </w:rPr>
        <w:t>visited subpages,</w:t>
      </w:r>
    </w:p>
    <w:p>
      <w:pPr>
        <w:pStyle w:val="ListBullet"/>
        <w:spacing w:after="40"/>
      </w:pPr>
      <w:r>
        <w:rPr>
          <w:rFonts w:ascii="Arial" w:hAnsi="Arial"/>
          <w:sz w:val="21"/>
        </w:rPr>
        <w:t>duration of visit,</w:t>
      </w:r>
    </w:p>
    <w:p>
      <w:pPr>
        <w:pStyle w:val="ListBullet"/>
        <w:spacing w:after="40"/>
      </w:pPr>
      <w:r>
        <w:rPr>
          <w:rFonts w:ascii="Arial" w:hAnsi="Arial"/>
          <w:sz w:val="21"/>
        </w:rPr>
        <w:t>device used,</w:t>
      </w:r>
    </w:p>
    <w:p>
      <w:pPr>
        <w:pStyle w:val="ListBullet"/>
        <w:spacing w:after="40"/>
      </w:pPr>
      <w:r>
        <w:rPr>
          <w:rFonts w:ascii="Arial" w:hAnsi="Arial"/>
          <w:sz w:val="21"/>
        </w:rPr>
        <w:t>general location data of the visitor.</w:t>
      </w:r>
    </w:p>
    <w:p>
      <w:pPr>
        <w:spacing w:after="100"/>
      </w:pPr>
      <w:r>
        <w:rPr>
          <w:rFonts w:ascii="Arial" w:hAnsi="Arial"/>
          <w:sz w:val="21"/>
        </w:rPr>
        <w:t>The following categories of cookies may be used on the websites:</w:t>
      </w:r>
    </w:p>
    <w:p>
      <w:pPr>
        <w:pStyle w:val="Heading2"/>
        <w:spacing w:before="160" w:after="60"/>
      </w:pPr>
      <w:r>
        <w:t>Essential Cookies</w:t>
      </w:r>
    </w:p>
    <w:p>
      <w:pPr>
        <w:spacing w:after="100"/>
      </w:pPr>
      <w:r>
        <w:rPr>
          <w:rFonts w:ascii="Arial" w:hAnsi="Arial"/>
          <w:sz w:val="21"/>
        </w:rPr>
        <w:t>Purpose: they enable the basic operation of the website, security, display of content, and storage of user settings.</w:t>
      </w:r>
    </w:p>
    <w:p>
      <w:pPr>
        <w:spacing w:after="100"/>
      </w:pPr>
      <w:r>
        <w:rPr>
          <w:rFonts w:ascii="Arial" w:hAnsi="Arial"/>
          <w:sz w:val="21"/>
        </w:rPr>
        <w:t>Legal basis: technical necessity for the operation of the website.</w:t>
      </w:r>
    </w:p>
    <w:p>
      <w:pPr>
        <w:spacing w:after="100"/>
      </w:pPr>
      <w:r>
        <w:rPr>
          <w:rFonts w:ascii="Arial" w:hAnsi="Arial"/>
          <w:sz w:val="21"/>
        </w:rPr>
        <w:t>Consent: not required.</w:t>
      </w:r>
    </w:p>
    <w:p>
      <w:pPr>
        <w:pStyle w:val="Heading2"/>
        <w:spacing w:before="160" w:after="60"/>
      </w:pPr>
      <w:r>
        <w:t>Analytical Cookies</w:t>
      </w:r>
    </w:p>
    <w:p>
      <w:pPr>
        <w:spacing w:after="100"/>
      </w:pPr>
      <w:r>
        <w:rPr>
          <w:rFonts w:ascii="Arial" w:hAnsi="Arial"/>
          <w:sz w:val="21"/>
        </w:rPr>
        <w:t>Provider: Google Analytics 4.</w:t>
      </w:r>
    </w:p>
    <w:p>
      <w:pPr>
        <w:spacing w:after="100"/>
      </w:pPr>
      <w:r>
        <w:rPr>
          <w:rFonts w:ascii="Arial" w:hAnsi="Arial"/>
          <w:sz w:val="21"/>
        </w:rPr>
        <w:t>Purpose: measuring website traffic, understanding website use, and improving the user experience.</w:t>
      </w:r>
    </w:p>
    <w:p>
      <w:pPr>
        <w:spacing w:after="100"/>
      </w:pPr>
      <w:r>
        <w:rPr>
          <w:rFonts w:ascii="Arial" w:hAnsi="Arial"/>
          <w:sz w:val="21"/>
        </w:rPr>
        <w:t>Legal basis: user consent.</w:t>
      </w:r>
    </w:p>
    <w:p>
      <w:pPr>
        <w:spacing w:after="100"/>
      </w:pPr>
      <w:r>
        <w:rPr>
          <w:rFonts w:ascii="Arial" w:hAnsi="Arial"/>
          <w:sz w:val="21"/>
        </w:rPr>
        <w:t>Consent: required before installation or activation.</w:t>
      </w:r>
    </w:p>
    <w:p>
      <w:pPr>
        <w:spacing w:after="100"/>
      </w:pPr>
      <w:r>
        <w:rPr>
          <w:rFonts w:ascii="Arial" w:hAnsi="Arial"/>
          <w:sz w:val="21"/>
        </w:rPr>
        <w:t>Duration: depends on the Google Analytics settings and the cookie settings on the website.</w:t>
      </w:r>
    </w:p>
    <w:p>
      <w:pPr>
        <w:spacing w:after="100"/>
      </w:pPr>
      <w:r>
        <w:rPr>
          <w:rFonts w:ascii="Arial" w:hAnsi="Arial"/>
          <w:sz w:val="21"/>
        </w:rPr>
        <w:t>The user may change or withdraw cookie settings at any time through the cookie settings on the website, where such functionality is enabled, or through the settings of their web browser.</w:t>
      </w:r>
    </w:p>
    <w:p>
      <w:pPr>
        <w:spacing w:after="100"/>
      </w:pPr>
      <w:r>
        <w:rPr>
          <w:rFonts w:ascii="Arial" w:hAnsi="Arial"/>
          <w:sz w:val="21"/>
        </w:rPr>
        <w:t>Google Analytics 4 is activated only after the user gives consent for analytical cookies. If the user does not give consent or withdraws it, analytical cookies are not installed and further analytical processing is not carried out.</w:t>
      </w:r>
    </w:p>
    <w:p>
      <w:pPr>
        <w:pStyle w:val="Heading1"/>
        <w:spacing w:before="240" w:after="100"/>
      </w:pPr>
      <w:r>
        <w:t>13. Electronic Communication</w:t>
      </w:r>
    </w:p>
    <w:p>
      <w:pPr>
        <w:spacing w:after="100"/>
      </w:pPr>
      <w:r>
        <w:rPr>
          <w:rFonts w:ascii="Arial" w:hAnsi="Arial"/>
          <w:sz w:val="21"/>
        </w:rPr>
        <w:t>Electronic communication with users may take place via Gmail or Google Workspace services.</w:t>
      </w:r>
    </w:p>
    <w:p>
      <w:pPr>
        <w:spacing w:after="100"/>
      </w:pPr>
      <w:r>
        <w:rPr>
          <w:rFonts w:ascii="Arial" w:hAnsi="Arial"/>
          <w:sz w:val="21"/>
        </w:rPr>
        <w:t>When using these services, certain data may pass through Google’s information infrastructure.</w:t>
      </w:r>
    </w:p>
    <w:p>
      <w:pPr>
        <w:spacing w:after="100"/>
      </w:pPr>
      <w:r>
        <w:rPr>
          <w:rFonts w:ascii="Arial" w:hAnsi="Arial"/>
          <w:sz w:val="21"/>
        </w:rPr>
        <w:t>The Controller uses reasonable organizational and technical measures to protect communication and personal data.</w:t>
      </w:r>
    </w:p>
    <w:p>
      <w:pPr>
        <w:pStyle w:val="Heading1"/>
        <w:spacing w:before="240" w:after="100"/>
      </w:pPr>
      <w:r>
        <w:t>14. Transfer of Data Outside the EU/EEA</w:t>
      </w:r>
    </w:p>
    <w:p>
      <w:pPr>
        <w:spacing w:after="100"/>
      </w:pPr>
      <w:r>
        <w:rPr>
          <w:rFonts w:ascii="Arial" w:hAnsi="Arial"/>
          <w:sz w:val="21"/>
        </w:rPr>
        <w:t>When using individual services of external providers, in particular Google Workspace, Gmail, and Google Analytics, personal data may also be processed outside the European Union or the European Economic Area.</w:t>
      </w:r>
    </w:p>
    <w:p>
      <w:pPr>
        <w:spacing w:after="100"/>
      </w:pPr>
      <w:r>
        <w:rPr>
          <w:rFonts w:ascii="Arial" w:hAnsi="Arial"/>
          <w:sz w:val="21"/>
        </w:rPr>
        <w:t>Where such transfer occurs, the Controller uses services of providers that ensure appropriate safeguards for the transfer of personal data in accordance with applicable legislation, such as standard contractual clauses, appropriate contractual commitments, or other valid transfer mechanisms.</w:t>
      </w:r>
    </w:p>
    <w:p>
      <w:pPr>
        <w:spacing w:after="100"/>
      </w:pPr>
      <w:r>
        <w:rPr>
          <w:rFonts w:ascii="Arial" w:hAnsi="Arial"/>
          <w:sz w:val="21"/>
        </w:rPr>
        <w:t>The Controller endeavors to ensure that personal data is processed to the minimum extent necessary and that providers ensuring an appropriate level of personal data protection are used.</w:t>
      </w:r>
    </w:p>
    <w:p>
      <w:pPr>
        <w:pStyle w:val="Heading1"/>
        <w:spacing w:before="240" w:after="100"/>
      </w:pPr>
      <w:r>
        <w:t>15. Rights of the Individual</w:t>
      </w:r>
    </w:p>
    <w:p>
      <w:pPr>
        <w:spacing w:after="100"/>
      </w:pPr>
      <w:r>
        <w:rPr>
          <w:rFonts w:ascii="Arial" w:hAnsi="Arial"/>
          <w:sz w:val="21"/>
        </w:rPr>
        <w:t>In relation to their personal data, the individual has the following rights:</w:t>
      </w:r>
    </w:p>
    <w:p>
      <w:pPr>
        <w:pStyle w:val="ListBullet"/>
        <w:spacing w:after="40"/>
      </w:pPr>
      <w:r>
        <w:rPr>
          <w:rFonts w:ascii="Arial" w:hAnsi="Arial"/>
          <w:sz w:val="21"/>
        </w:rPr>
        <w:t>the right of access to personal data,</w:t>
      </w:r>
    </w:p>
    <w:p>
      <w:pPr>
        <w:pStyle w:val="ListBullet"/>
        <w:spacing w:after="40"/>
      </w:pPr>
      <w:r>
        <w:rPr>
          <w:rFonts w:ascii="Arial" w:hAnsi="Arial"/>
          <w:sz w:val="21"/>
        </w:rPr>
        <w:t>the right to rectification of inaccurate data,</w:t>
      </w:r>
    </w:p>
    <w:p>
      <w:pPr>
        <w:pStyle w:val="ListBullet"/>
        <w:spacing w:after="40"/>
      </w:pPr>
      <w:r>
        <w:rPr>
          <w:rFonts w:ascii="Arial" w:hAnsi="Arial"/>
          <w:sz w:val="21"/>
        </w:rPr>
        <w:t>the right to erasure of personal data,</w:t>
      </w:r>
    </w:p>
    <w:p>
      <w:pPr>
        <w:pStyle w:val="ListBullet"/>
        <w:spacing w:after="40"/>
      </w:pPr>
      <w:r>
        <w:rPr>
          <w:rFonts w:ascii="Arial" w:hAnsi="Arial"/>
          <w:sz w:val="21"/>
        </w:rPr>
        <w:t>the right to restriction of processing,</w:t>
      </w:r>
    </w:p>
    <w:p>
      <w:pPr>
        <w:pStyle w:val="ListBullet"/>
        <w:spacing w:after="40"/>
      </w:pPr>
      <w:r>
        <w:rPr>
          <w:rFonts w:ascii="Arial" w:hAnsi="Arial"/>
          <w:sz w:val="21"/>
        </w:rPr>
        <w:t>the right to object to processing,</w:t>
      </w:r>
    </w:p>
    <w:p>
      <w:pPr>
        <w:pStyle w:val="ListBullet"/>
        <w:spacing w:after="40"/>
      </w:pPr>
      <w:r>
        <w:rPr>
          <w:rFonts w:ascii="Arial" w:hAnsi="Arial"/>
          <w:sz w:val="21"/>
        </w:rPr>
        <w:t>the right to data portability,</w:t>
      </w:r>
    </w:p>
    <w:p>
      <w:pPr>
        <w:pStyle w:val="ListBullet"/>
        <w:spacing w:after="40"/>
      </w:pPr>
      <w:r>
        <w:rPr>
          <w:rFonts w:ascii="Arial" w:hAnsi="Arial"/>
          <w:sz w:val="21"/>
        </w:rPr>
        <w:t>the right to withdraw consent where processing is based on consent.</w:t>
      </w:r>
    </w:p>
    <w:p>
      <w:pPr>
        <w:spacing w:after="100"/>
      </w:pPr>
      <w:r>
        <w:rPr>
          <w:rFonts w:ascii="Arial" w:hAnsi="Arial"/>
          <w:sz w:val="21"/>
        </w:rPr>
        <w:t>The individual may submit a request to the following email address: hello@103.si</w:t>
      </w:r>
    </w:p>
    <w:p>
      <w:pPr>
        <w:spacing w:after="100"/>
      </w:pPr>
      <w:r>
        <w:rPr>
          <w:rFonts w:ascii="Arial" w:hAnsi="Arial"/>
          <w:sz w:val="21"/>
        </w:rPr>
        <w:t>The Controller shall respond to the individual’s request without undue delay, generally no later than one month from receipt of the request. In the case of more complex requests or a larger number of requests, this period may be extended in accordance with applicable legislation, of which the individual shall be informed.</w:t>
      </w:r>
    </w:p>
    <w:p>
      <w:pPr>
        <w:spacing w:after="100"/>
      </w:pPr>
      <w:r>
        <w:rPr>
          <w:rFonts w:ascii="Arial" w:hAnsi="Arial"/>
          <w:sz w:val="21"/>
        </w:rPr>
        <w:t>Individual rights are not absolute and may be exercised under the conditions and to the extent provided by applicable personal data protection legislation.</w:t>
      </w:r>
    </w:p>
    <w:p>
      <w:pPr>
        <w:spacing w:after="100"/>
      </w:pPr>
      <w:r>
        <w:rPr>
          <w:rFonts w:ascii="Arial" w:hAnsi="Arial"/>
          <w:sz w:val="21"/>
        </w:rPr>
        <w:t>Before handling a request, the Controller may request additional information from the individual where this is necessary for reliable identification of the individual.</w:t>
      </w:r>
    </w:p>
    <w:p>
      <w:pPr>
        <w:pStyle w:val="Heading1"/>
        <w:spacing w:before="240" w:after="100"/>
      </w:pPr>
      <w:r>
        <w:t>16. Security of Personal Data</w:t>
      </w:r>
    </w:p>
    <w:p>
      <w:pPr>
        <w:spacing w:after="100"/>
      </w:pPr>
      <w:r>
        <w:rPr>
          <w:rFonts w:ascii="Arial" w:hAnsi="Arial"/>
          <w:sz w:val="21"/>
        </w:rPr>
        <w:t>The Controller uses appropriate organizational, technical, and administrative measures to protect personal data against:</w:t>
      </w:r>
    </w:p>
    <w:p>
      <w:pPr>
        <w:pStyle w:val="ListBullet"/>
        <w:spacing w:after="40"/>
      </w:pPr>
      <w:r>
        <w:rPr>
          <w:rFonts w:ascii="Arial" w:hAnsi="Arial"/>
          <w:sz w:val="21"/>
        </w:rPr>
        <w:t>unauthorized access,</w:t>
      </w:r>
    </w:p>
    <w:p>
      <w:pPr>
        <w:pStyle w:val="ListBullet"/>
        <w:spacing w:after="40"/>
      </w:pPr>
      <w:r>
        <w:rPr>
          <w:rFonts w:ascii="Arial" w:hAnsi="Arial"/>
          <w:sz w:val="21"/>
        </w:rPr>
        <w:t>loss,</w:t>
      </w:r>
    </w:p>
    <w:p>
      <w:pPr>
        <w:pStyle w:val="ListBullet"/>
        <w:spacing w:after="40"/>
      </w:pPr>
      <w:r>
        <w:rPr>
          <w:rFonts w:ascii="Arial" w:hAnsi="Arial"/>
          <w:sz w:val="21"/>
        </w:rPr>
        <w:t>destruction,</w:t>
      </w:r>
    </w:p>
    <w:p>
      <w:pPr>
        <w:pStyle w:val="ListBullet"/>
        <w:spacing w:after="40"/>
      </w:pPr>
      <w:r>
        <w:rPr>
          <w:rFonts w:ascii="Arial" w:hAnsi="Arial"/>
          <w:sz w:val="21"/>
        </w:rPr>
        <w:t>alteration,</w:t>
      </w:r>
    </w:p>
    <w:p>
      <w:pPr>
        <w:pStyle w:val="ListBullet"/>
        <w:spacing w:after="40"/>
      </w:pPr>
      <w:r>
        <w:rPr>
          <w:rFonts w:ascii="Arial" w:hAnsi="Arial"/>
          <w:sz w:val="21"/>
        </w:rPr>
        <w:t>disclosure,</w:t>
      </w:r>
    </w:p>
    <w:p>
      <w:pPr>
        <w:pStyle w:val="ListBullet"/>
        <w:spacing w:after="40"/>
      </w:pPr>
      <w:r>
        <w:rPr>
          <w:rFonts w:ascii="Arial" w:hAnsi="Arial"/>
          <w:sz w:val="21"/>
        </w:rPr>
        <w:t>misuse.</w:t>
      </w:r>
    </w:p>
    <w:p>
      <w:pPr>
        <w:spacing w:after="100"/>
      </w:pPr>
      <w:r>
        <w:rPr>
          <w:rFonts w:ascii="Arial" w:hAnsi="Arial"/>
          <w:sz w:val="21"/>
        </w:rPr>
        <w:t>Access to personal data is limited to persons who need it for the performance of their tasks or contractual obligations.</w:t>
      </w:r>
    </w:p>
    <w:p>
      <w:pPr>
        <w:pStyle w:val="Heading1"/>
        <w:spacing w:before="240" w:after="100"/>
      </w:pPr>
      <w:r>
        <w:t>17. Right to Lodge a Complaint</w:t>
      </w:r>
    </w:p>
    <w:p>
      <w:pPr>
        <w:spacing w:after="100"/>
      </w:pPr>
      <w:r>
        <w:rPr>
          <w:rFonts w:ascii="Arial" w:hAnsi="Arial"/>
          <w:sz w:val="21"/>
        </w:rPr>
        <w:t>If an individual believes that their personal data is being processed contrary to applicable legislation, they may lodge a complaint with:</w:t>
      </w:r>
    </w:p>
    <w:p>
      <w:pPr>
        <w:spacing w:after="100"/>
      </w:pPr>
      <w:r>
        <w:rPr>
          <w:rFonts w:ascii="Arial" w:hAnsi="Arial"/>
          <w:sz w:val="21"/>
        </w:rPr>
        <w:t>Information Commissioner of the Republic of Slovenia</w:t>
      </w:r>
      <w:r>
        <w:br/>
      </w:r>
      <w:r>
        <w:rPr>
          <w:rFonts w:ascii="Arial" w:hAnsi="Arial"/>
          <w:sz w:val="21"/>
        </w:rPr>
        <w:t>Dunajska cesta 22</w:t>
      </w:r>
      <w:r>
        <w:br/>
      </w:r>
      <w:r>
        <w:rPr>
          <w:rFonts w:ascii="Arial" w:hAnsi="Arial"/>
          <w:sz w:val="21"/>
        </w:rPr>
        <w:t>1000 Ljubljana</w:t>
      </w:r>
      <w:r>
        <w:br/>
      </w:r>
      <w:r>
        <w:rPr>
          <w:rFonts w:ascii="Arial" w:hAnsi="Arial"/>
          <w:sz w:val="21"/>
        </w:rPr>
        <w:t>Slovenia</w:t>
      </w:r>
    </w:p>
    <w:p>
      <w:pPr>
        <w:spacing w:after="100"/>
      </w:pPr>
      <w:r>
        <w:rPr>
          <w:rFonts w:ascii="Arial" w:hAnsi="Arial"/>
          <w:sz w:val="21"/>
        </w:rPr>
        <w:t>Website: https://www.ip-rs.si</w:t>
      </w:r>
    </w:p>
    <w:p>
      <w:pPr>
        <w:spacing w:after="100"/>
      </w:pPr>
      <w:r>
        <w:rPr>
          <w:rFonts w:ascii="Arial" w:hAnsi="Arial"/>
          <w:sz w:val="21"/>
        </w:rPr>
        <w:t>Before lodging a complaint, the individual may always first contact the Controller, who will endeavor to resolve the matter amicably.</w:t>
      </w:r>
    </w:p>
    <w:p>
      <w:pPr>
        <w:pStyle w:val="Heading1"/>
        <w:spacing w:before="240" w:after="100"/>
      </w:pPr>
      <w:r>
        <w:t>18. Changes to this Document</w:t>
      </w:r>
    </w:p>
    <w:p>
      <w:pPr>
        <w:spacing w:after="100"/>
      </w:pPr>
      <w:r>
        <w:rPr>
          <w:rFonts w:ascii="Arial" w:hAnsi="Arial"/>
          <w:sz w:val="21"/>
        </w:rPr>
        <w:t>The Controller reserves the right to amend this Privacy Policy and Cookie Policy.</w:t>
      </w:r>
    </w:p>
    <w:p>
      <w:pPr>
        <w:spacing w:after="100"/>
      </w:pPr>
      <w:r>
        <w:rPr>
          <w:rFonts w:ascii="Arial" w:hAnsi="Arial"/>
          <w:sz w:val="21"/>
        </w:rPr>
        <w:t>The current version of the document is always published on the websites 103.si and jureniedorfer.com.</w:t>
      </w:r>
    </w:p>
    <w:p>
      <w:pPr>
        <w:pStyle w:val="Heading1"/>
        <w:spacing w:before="240" w:after="100"/>
      </w:pPr>
      <w:r>
        <w:t>19. Validity of this Document</w:t>
      </w:r>
    </w:p>
    <w:p>
      <w:pPr>
        <w:spacing w:after="100"/>
      </w:pPr>
      <w:r>
        <w:rPr>
          <w:rFonts w:ascii="Arial" w:hAnsi="Arial"/>
          <w:sz w:val="21"/>
        </w:rPr>
        <w:t>This document enters into force on the date of its publication on the website.</w:t>
      </w:r>
    </w:p>
    <w:p>
      <w:pPr>
        <w:spacing w:after="100"/>
      </w:pPr>
      <w:r>
        <w:rPr>
          <w:rFonts w:ascii="Arial" w:hAnsi="Arial"/>
          <w:sz w:val="21"/>
        </w:rPr>
        <w:t>Version 1.0</w:t>
      </w:r>
      <w:r>
        <w:br/>
      </w:r>
      <w:r>
        <w:rPr>
          <w:rFonts w:ascii="Arial" w:hAnsi="Arial"/>
          <w:sz w:val="21"/>
        </w:rPr>
        <w:t>May 2026</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