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360"/>
        <w:jc w:val="center"/>
      </w:pPr>
      <w:r>
        <w:rPr>
          <w:rFonts w:ascii="Arial" w:hAnsi="Arial" w:cs="Arial"/>
          <w:b/>
          <w:i w:val="0"/>
          <w:sz w:val="28"/>
        </w:rPr>
        <w:t>ESTUDIO DE LOS CONCEPTOS DE VIOLACIÓN</w:t>
      </w:r>
    </w:p>
    <w:p>
      <w:pPr>
        <w:spacing w:line="360" w:lineRule="auto" w:after="80" w:before="0"/>
        <w:jc w:val="both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El </w:t>
      </w:r>
      <w:r>
        <w:rPr>
          <w:rFonts w:ascii="Arial" w:hAnsi="Arial" w:cs="Arial"/>
          <w:b/>
          <w:i w:val="0"/>
          <w:sz w:val="28"/>
        </w:rPr>
        <w:t>primer concepto de violación</w:t>
      </w:r>
      <w:r>
        <w:rPr>
          <w:rFonts w:ascii="Arial" w:hAnsi="Arial" w:cs="Arial"/>
          <w:b w:val="0"/>
          <w:i w:val="0"/>
          <w:sz w:val="28"/>
        </w:rPr>
        <w:t xml:space="preserve"> es </w:t>
      </w:r>
      <w:r>
        <w:rPr>
          <w:rFonts w:ascii="Arial" w:hAnsi="Arial" w:cs="Arial"/>
          <w:b/>
          <w:i w:val="0"/>
          <w:sz w:val="28"/>
        </w:rPr>
        <w:t>fundado</w:t>
      </w:r>
      <w:r>
        <w:rPr>
          <w:rFonts w:ascii="Arial" w:hAnsi="Arial" w:cs="Arial"/>
          <w:b w:val="0"/>
          <w:i w:val="0"/>
          <w:sz w:val="28"/>
        </w:rPr>
        <w:t xml:space="preserve"> por las razones siguientes.</w:t>
      </w:r>
    </w:p>
    <w:p>
      <w:pPr>
        <w:spacing w:line="360" w:lineRule="auto" w:after="80" w:before="0"/>
        <w:jc w:val="both"/>
      </w:pPr>
    </w:p>
    <w:p>
      <w:pPr>
        <w:spacing w:line="360" w:lineRule="auto" w:after="120" w:before="240"/>
        <w:jc w:val="both"/>
      </w:pPr>
      <w:r>
        <w:rPr>
          <w:rFonts w:ascii="Arial" w:hAnsi="Arial" w:cs="Arial"/>
          <w:b/>
          <w:i w:val="0"/>
          <w:sz w:val="28"/>
        </w:rPr>
        <w:t>Problema jurídico 1: Indebida valoración probatoria</w:t>
      </w:r>
    </w:p>
    <w:p>
      <w:pPr>
        <w:spacing w:line="360" w:lineRule="auto" w:after="80" w:before="0"/>
        <w:jc w:val="both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La parte quejosa sostiene que la responsable valoró indebidamente las pruebas documentales ofrecidas en el juicio natural.</w:t>
      </w:r>
    </w:p>
    <w:p>
      <w:pPr>
        <w:spacing w:line="360" w:lineRule="auto" w:after="80" w:before="0"/>
        <w:jc w:val="both"/>
      </w:pPr>
    </w:p>
    <w:p>
      <w:pPr>
        <w:spacing w:line="240" w:lineRule="auto" w:after="120" w:before="120"/>
        <w:ind w:left="850"/>
        <w:jc w:val="both"/>
      </w:pPr>
      <w:r>
        <w:rPr>
          <w:rFonts w:ascii="Arial" w:hAnsi="Arial" w:cs="Arial"/>
          <w:b w:val="0"/>
          <w:i/>
          <w:sz w:val="24"/>
        </w:rPr>
        <w:t>PRUEBA DOCUMENTAL EN EL JUICIO ORAL MERCANTIL. SU VALORACIÓN DEBE REALIZARSE CONFORME A LAS REGLAS QUE PARA TAL EFECTO ESTABLECE EL CÓDIGO DE COMERCIO. Registro digital: 2018234. Tribunales Colegiados de Circuito. Undécima Época.</w:t>
      </w:r>
      <w:r>
        <w:rPr>
          <w:rFonts w:ascii="Arial" w:hAnsi="Arial"/>
          <w:sz w:val="20"/>
          <w:vertAlign w:val="superscript"/>
        </w:rPr>
        <w:t>1</w:t>
      </w:r>
    </w:p>
    <w:p>
      <w:pPr>
        <w:spacing w:line="360" w:lineRule="auto" w:after="80" w:before="0"/>
        <w:jc w:val="both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Al respecto, el artículo 1205 del Código de Comercio establece:</w:t>
      </w:r>
    </w:p>
    <w:p>
      <w:pPr>
        <w:spacing w:line="360" w:lineRule="auto" w:after="80" w:before="0"/>
        <w:jc w:val="both"/>
      </w:pPr>
    </w:p>
    <w:p>
      <w:pPr>
        <w:spacing w:line="240" w:lineRule="auto" w:after="120" w:before="120"/>
        <w:ind w:left="850"/>
        <w:jc w:val="both"/>
      </w:pPr>
      <w:r>
        <w:rPr>
          <w:rFonts w:ascii="Arial" w:hAnsi="Arial" w:cs="Arial"/>
          <w:b w:val="0"/>
          <w:i/>
          <w:sz w:val="24"/>
        </w:rPr>
        <w:t>Son admisibles como medios de prueba todos aquellos elementos que puedan producir convicción en el ánimo del juzgador acerca de los hechos controvertidos o dudosos.</w:t>
      </w:r>
    </w:p>
    <w:p>
      <w:pPr>
        <w:spacing w:line="360" w:lineRule="auto" w:after="80" w:before="0"/>
        <w:jc w:val="both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Conclusión del problema 1:</w:t>
      </w:r>
      <w:r>
        <w:rPr>
          <w:rFonts w:ascii="Arial" w:hAnsi="Arial" w:cs="Arial"/>
          <w:b w:val="0"/>
          <w:i w:val="0"/>
          <w:sz w:val="28"/>
        </w:rPr>
        <w:t xml:space="preserve"> En virtud de lo anterior, resulta </w:t>
      </w:r>
      <w:r>
        <w:rPr>
          <w:rFonts w:ascii="Arial" w:hAnsi="Arial" w:cs="Arial"/>
          <w:b/>
          <w:i w:val="0"/>
          <w:sz w:val="28"/>
        </w:rPr>
        <w:t>fundado</w:t>
      </w:r>
      <w:r>
        <w:rPr>
          <w:rFonts w:ascii="Arial" w:hAnsi="Arial" w:cs="Arial"/>
          <w:b w:val="0"/>
          <w:i w:val="0"/>
          <w:sz w:val="28"/>
        </w:rPr>
        <w:t xml:space="preserve"> el concepto de violación analizado.</w:t>
      </w:r>
    </w:p>
    <w:p>
      <w:pPr>
        <w:spacing w:line="360" w:lineRule="auto" w:after="80" w:before="0"/>
        <w:jc w:val="both"/>
      </w:pPr>
    </w:p>
    <w:p>
      <w:pPr>
        <w:spacing w:line="360" w:lineRule="auto" w:after="0" w:before="480"/>
        <w:jc w:val="both"/>
      </w:pPr>
      <w:r>
        <w:rPr>
          <w:sz w:val="16"/>
        </w:rPr>
        <w:t>________________________________________</w:t>
      </w:r>
    </w:p>
    <w:p>
      <w:pPr>
        <w:spacing w:line="240" w:lineRule="auto" w:after="0" w:before="0"/>
        <w:jc w:val="left"/>
      </w:pPr>
      <w:r>
        <w:rPr>
          <w:rFonts w:ascii="Arial" w:hAnsi="Arial" w:cs="Arial"/>
          <w:b/>
          <w:i w:val="0"/>
          <w:sz w:val="20"/>
        </w:rPr>
        <w:t>NOTAS AL PIE</w:t>
      </w:r>
    </w:p>
    <w:p>
      <w:pPr>
        <w:spacing w:line="240" w:lineRule="auto" w:after="0" w:before="0"/>
        <w:jc w:val="left"/>
      </w:pPr>
      <w:r>
        <w:rPr>
          <w:rFonts w:ascii="Arial" w:hAnsi="Arial" w:cs="Arial"/>
          <w:b/>
          <w:i w:val="0"/>
          <w:sz w:val="20"/>
        </w:rPr>
        <w:t xml:space="preserve">1. </w:t>
      </w:r>
      <w:r>
        <w:rPr>
          <w:rFonts w:ascii="Arial" w:hAnsi="Arial" w:cs="Arial"/>
          <w:b w:val="0"/>
          <w:i/>
          <w:sz w:val="20"/>
        </w:rPr>
        <w:t>"PRUEBA DOCUMENTAL EN EL JUICIO ORAL MERCANTIL. SU VALORACIÓN DEBE REALIZARSE CONFORME A LAS REGLAS QUE PARA TAL EFECTO E". Registro digital: 2018234.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