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8CB63" w14:textId="77777777" w:rsidR="00271E69" w:rsidRDefault="00966A0B">
      <w:pPr>
        <w:pStyle w:val="Title"/>
        <w:jc w:val="center"/>
      </w:pPr>
      <w:r>
        <w:rPr>
          <w:b/>
          <w:bCs/>
          <w:sz w:val="36"/>
          <w:szCs w:val="36"/>
        </w:rPr>
        <w:t>Logistics Operations — Project 6</w:t>
      </w:r>
    </w:p>
    <w:p w14:paraId="69DF570D" w14:textId="77777777" w:rsidR="00271E69" w:rsidRDefault="00966A0B">
      <w:pPr>
        <w:jc w:val="center"/>
      </w:pPr>
      <w:r>
        <w:rPr>
          <w:color w:val="444444"/>
          <w:sz w:val="24"/>
          <w:szCs w:val="24"/>
        </w:rPr>
        <w:t>SQL Query Findings &amp; Conclusions</w:t>
      </w:r>
    </w:p>
    <w:p w14:paraId="381B6F81" w14:textId="77777777" w:rsidR="00271E69" w:rsidRDefault="00271E69"/>
    <w:p w14:paraId="0F918347" w14:textId="77777777" w:rsidR="00271E69" w:rsidRDefault="00966A0B">
      <w:pPr>
        <w:jc w:val="center"/>
      </w:pPr>
      <w:r>
        <w:rPr>
          <w:i/>
          <w:iCs/>
          <w:color w:val="666666"/>
        </w:rPr>
        <w:t>Dataset: Logistics Operations Database (2022–2024) | Tool: SQL Server (T-SQL)</w:t>
      </w:r>
    </w:p>
    <w:p w14:paraId="5C660558" w14:textId="77777777" w:rsidR="00271E69" w:rsidRDefault="00271E69"/>
    <w:p w14:paraId="50E7F6E8" w14:textId="77777777" w:rsidR="00271E69" w:rsidRDefault="00271E69"/>
    <w:p w14:paraId="6DF7F85F" w14:textId="77777777" w:rsidR="00271E69" w:rsidRDefault="00966A0B">
      <w:pPr>
        <w:pStyle w:val="Heading1"/>
      </w:pPr>
      <w:r>
        <w:rPr>
          <w:b/>
          <w:bCs/>
        </w:rPr>
        <w:t>Query 1 — Driver Performance Scorecard</w:t>
      </w:r>
    </w:p>
    <w:p w14:paraId="5D004966" w14:textId="77777777" w:rsidR="00271E69" w:rsidRDefault="00966A0B">
      <w:r>
        <w:rPr>
          <w:i/>
          <w:iCs/>
          <w:color w:val="555555"/>
        </w:rPr>
        <w:t>Objective: Show each driver's total trips, average MPG, average idle time, and on-time delivery rate.</w:t>
      </w:r>
    </w:p>
    <w:p w14:paraId="6F0CB5AE" w14:textId="77777777" w:rsidR="00271E69" w:rsidRDefault="00271E69"/>
    <w:p w14:paraId="55A2B611" w14:textId="77777777" w:rsidR="00271E69" w:rsidRDefault="00966A0B">
      <w:pPr>
        <w:pStyle w:val="Heading2"/>
      </w:pPr>
      <w:r>
        <w:rPr>
          <w:b/>
          <w:bCs/>
        </w:rPr>
        <w:t>Findings</w:t>
      </w:r>
    </w:p>
    <w:p w14:paraId="5E2F8CB4" w14:textId="77777777" w:rsidR="00271E69" w:rsidRDefault="00966A0B">
      <w:r>
        <w:t>150 drivers were analysed across 3 years of operations (2022–2024). Of these, 124 drivers completed trips while 26 drivers recorded no trip activity, indicating inactive or bench status within the system.</w:t>
      </w:r>
    </w:p>
    <w:p w14:paraId="6135D01F" w14:textId="77777777" w:rsidR="00271E69" w:rsidRDefault="00271E69"/>
    <w:p w14:paraId="687E2354" w14:textId="77777777" w:rsidR="00271E69" w:rsidRDefault="00966A0B">
      <w:r>
        <w:t>On-time delivery rates ranged from 58.98% (top performer: Joseph Jones, Minneapolis) to 51.61% (lowest active driver: Mary Wilson, Seattle) — a spread of approximately 7 percentage points across the active driver pool.</w:t>
      </w:r>
    </w:p>
    <w:p w14:paraId="4A1E4733" w14:textId="77777777" w:rsidR="00271E69" w:rsidRDefault="00271E69"/>
    <w:p w14:paraId="069E48C5" w14:textId="77777777" w:rsidR="00271E69" w:rsidRDefault="00966A0B">
      <w:r>
        <w:t>Average MPG across active drivers clustered tightly around 6.5 MPG, consistent with heavy trucking industry benchmarks. Average idle time per trip averaged 7.0 hours across the fleet, representing a key operating cost that warrants monitoring at the terminal level.</w:t>
      </w:r>
    </w:p>
    <w:p w14:paraId="015A6DDC" w14:textId="77777777" w:rsidR="00271E69" w:rsidRDefault="00271E69"/>
    <w:p w14:paraId="05353E8F" w14:textId="77777777" w:rsidR="00271E69" w:rsidRDefault="00966A0B">
      <w:pPr>
        <w:pStyle w:val="Heading2"/>
      </w:pPr>
      <w:r>
        <w:rPr>
          <w:b/>
          <w:bCs/>
        </w:rPr>
        <w:t>Conclusions</w:t>
      </w:r>
    </w:p>
    <w:p w14:paraId="66AD98D0" w14:textId="77777777" w:rsidR="00271E69" w:rsidRDefault="00966A0B">
      <w:r>
        <w:t>• No active driver exceeded a 59% on-time delivery rate, indicating a systemic operational challenge rather than individual driver performance issues. Routing, scheduling, and load planning are likely the primary contributing factors.</w:t>
      </w:r>
    </w:p>
    <w:p w14:paraId="2CCC56FD" w14:textId="77777777" w:rsidR="00271E69" w:rsidRDefault="00966A0B">
      <w:r>
        <w:t>• The tight MPG clustering (all drivers ~6.5 MPG) confirms fuel efficiency is consistent across the driver pool — individual driving behaviour has minimal impact on fuel cost.</w:t>
      </w:r>
    </w:p>
    <w:p w14:paraId="3631DFF5" w14:textId="77777777" w:rsidR="00271E69" w:rsidRDefault="00966A0B">
      <w:r>
        <w:t>• 26 inactive drivers remain in the system and should be reviewed for data hygiene purposes — these records inflate headcount without contributing to operational metrics.</w:t>
      </w:r>
    </w:p>
    <w:p w14:paraId="32698EC0" w14:textId="77777777" w:rsidR="00271E69" w:rsidRDefault="00966A0B">
      <w:r>
        <w:t>• Average idle time of 7.0 hours per trip is a significant cost driver. Reducing idle time through better dock scheduling and route timing could yield measurable fuel savings across the fleet.</w:t>
      </w:r>
    </w:p>
    <w:p w14:paraId="16961FF0" w14:textId="77777777" w:rsidR="00271E69" w:rsidRDefault="00271E69"/>
    <w:p w14:paraId="1853F8E8" w14:textId="77777777" w:rsidR="00271E69" w:rsidRDefault="00271E69"/>
    <w:p w14:paraId="68809107" w14:textId="77777777" w:rsidR="00271E69" w:rsidRDefault="00966A0B">
      <w:pPr>
        <w:pStyle w:val="Heading1"/>
      </w:pPr>
      <w:r>
        <w:rPr>
          <w:b/>
          <w:bCs/>
        </w:rPr>
        <w:t>Query 2 — Route Profitability Analysis</w:t>
      </w:r>
    </w:p>
    <w:p w14:paraId="2748B4F4" w14:textId="77777777" w:rsidR="00271E69" w:rsidRDefault="00966A0B">
      <w:r>
        <w:rPr>
          <w:i/>
          <w:iCs/>
          <w:color w:val="555555"/>
        </w:rPr>
        <w:t>Objective: Calculate total revenue, total distance, and revenue per mile by route. Rank routes by profitability.</w:t>
      </w:r>
    </w:p>
    <w:p w14:paraId="2B52AE56" w14:textId="77777777" w:rsidR="00271E69" w:rsidRDefault="00271E69"/>
    <w:p w14:paraId="1DF6EDD7" w14:textId="77777777" w:rsidR="00271E69" w:rsidRDefault="00966A0B">
      <w:pPr>
        <w:pStyle w:val="Heading2"/>
      </w:pPr>
      <w:r>
        <w:rPr>
          <w:b/>
          <w:bCs/>
        </w:rPr>
        <w:t>Findings</w:t>
      </w:r>
    </w:p>
    <w:p w14:paraId="250F075B" w14:textId="77777777" w:rsidR="00271E69" w:rsidRDefault="00966A0B">
      <w:r>
        <w:t>58 routes were analysed across the network. Revenue per mile — calculated from total billed (base revenue + fuel surcharge + accessorial charges) divided by typical route distance — ranged from $5,696 per mile (Rank 1) to $2,605 per mile (Rank 58), a spread of over $3,000 per mile between the most and least profitable lanes.</w:t>
      </w:r>
    </w:p>
    <w:p w14:paraId="4C99F504" w14:textId="77777777" w:rsidR="00271E69" w:rsidRDefault="00271E69"/>
    <w:p w14:paraId="495974D1" w14:textId="77777777" w:rsidR="00271E69" w:rsidRDefault="00966A0B">
      <w:r>
        <w:t>The top-ranked route (RTE00015: Philadelphia, PA → New York, NY) achieved $5,696 revenue per mile over 1,537 loads across a 92-mile lane — demonstrating that short, high-frequency urban lanes generate the strongest revenue per mile. The lowest-ranked route (RTE00037: Las Vegas, NV → New York, NY) covered 2,561 miles and generated $2,605 per mile despite $6.6M in total billed revenue.</w:t>
      </w:r>
    </w:p>
    <w:p w14:paraId="07E35204" w14:textId="77777777" w:rsidR="00271E69" w:rsidRDefault="00271E69"/>
    <w:p w14:paraId="36CE1FFF" w14:textId="77777777" w:rsidR="00271E69" w:rsidRDefault="00966A0B">
      <w:pPr>
        <w:pStyle w:val="Heading2"/>
      </w:pPr>
      <w:r>
        <w:rPr>
          <w:b/>
          <w:bCs/>
        </w:rPr>
        <w:t>Conclusions</w:t>
      </w:r>
    </w:p>
    <w:p w14:paraId="1CAE4A7D" w14:textId="77777777" w:rsidR="00271E69" w:rsidRDefault="00966A0B">
      <w:r>
        <w:t>• Short-haul, high-frequency lanes consistently outperform long-haul routes on a revenue-per-mile basis. The top 10 routes are predominantly under 500 miles.</w:t>
      </w:r>
    </w:p>
    <w:p w14:paraId="656C5082" w14:textId="77777777" w:rsidR="00271E69" w:rsidRDefault="00966A0B">
      <w:r>
        <w:t>• Long-haul routes (2,000+ miles) generate significant total revenue but dilute profitability per mile due to higher fuel, driver, and maintenance costs over extended distances.</w:t>
      </w:r>
    </w:p>
    <w:p w14:paraId="075986C9" w14:textId="77777777" w:rsidR="00271E69" w:rsidRDefault="00966A0B">
      <w:r>
        <w:t>• Fuel surcharge and accessorial charges contribute meaningfully to total billed amounts across all routes — these should be reviewed regularly to ensure they accurately reflect current fuel prices and service costs.</w:t>
      </w:r>
    </w:p>
    <w:p w14:paraId="109494A7" w14:textId="77777777" w:rsidR="00271E69" w:rsidRDefault="00966A0B">
      <w:r>
        <w:t>• Load counts are relatively consistent across routes (1,429–1,537 loads), suggesting the revenue per mile difference is driven by rate structure and distance rather than volume.</w:t>
      </w:r>
    </w:p>
    <w:p w14:paraId="2F179705" w14:textId="77777777" w:rsidR="00271E69" w:rsidRDefault="00271E69"/>
    <w:p w14:paraId="3709782E" w14:textId="77777777" w:rsidR="00271E69" w:rsidRDefault="00271E69"/>
    <w:p w14:paraId="01543CA1" w14:textId="77777777" w:rsidR="00271E69" w:rsidRDefault="00966A0B">
      <w:pPr>
        <w:pStyle w:val="Heading1"/>
      </w:pPr>
      <w:r>
        <w:rPr>
          <w:b/>
          <w:bCs/>
        </w:rPr>
        <w:lastRenderedPageBreak/>
        <w:t>Query 3 — On-Time Delivery Performance by Customer</w:t>
      </w:r>
    </w:p>
    <w:p w14:paraId="17A69DA5" w14:textId="77777777" w:rsidR="00271E69" w:rsidRDefault="00966A0B">
      <w:r>
        <w:rPr>
          <w:i/>
          <w:iCs/>
          <w:color w:val="555555"/>
        </w:rPr>
        <w:t xml:space="preserve">Objective: Show </w:t>
      </w:r>
      <w:proofErr w:type="gramStart"/>
      <w:r>
        <w:rPr>
          <w:i/>
          <w:iCs/>
          <w:color w:val="555555"/>
        </w:rPr>
        <w:t>on-time</w:t>
      </w:r>
      <w:proofErr w:type="gramEnd"/>
      <w:r>
        <w:rPr>
          <w:i/>
          <w:iCs/>
          <w:color w:val="555555"/>
        </w:rPr>
        <w:t xml:space="preserve"> % per customer, average detention minutes, and total loads. Flag customers with on-time rate below 55%.</w:t>
      </w:r>
    </w:p>
    <w:p w14:paraId="6DFA7C69" w14:textId="77777777" w:rsidR="00271E69" w:rsidRDefault="00271E69"/>
    <w:p w14:paraId="3D83B9B3" w14:textId="77777777" w:rsidR="00271E69" w:rsidRDefault="00966A0B">
      <w:pPr>
        <w:pStyle w:val="Heading2"/>
      </w:pPr>
      <w:r>
        <w:rPr>
          <w:b/>
          <w:bCs/>
        </w:rPr>
        <w:t>Findings</w:t>
      </w:r>
    </w:p>
    <w:p w14:paraId="0177D954" w14:textId="77777777" w:rsidR="00271E69" w:rsidRDefault="00966A0B">
      <w:r>
        <w:t xml:space="preserve">200 customers were analysed. On-time delivery rates ranged from 50.00% (Superior Retail, CUST00132) to 60.70% (United Group, CUST00089) — a </w:t>
      </w:r>
      <w:proofErr w:type="gramStart"/>
      <w:r>
        <w:t>10 percentage</w:t>
      </w:r>
      <w:proofErr w:type="gramEnd"/>
      <w:r>
        <w:t xml:space="preserve"> point spread across the full customer base.</w:t>
      </w:r>
    </w:p>
    <w:p w14:paraId="6DD92210" w14:textId="77777777" w:rsidR="00271E69" w:rsidRDefault="00271E69"/>
    <w:p w14:paraId="3DFCA2A5" w14:textId="77777777" w:rsidR="00271E69" w:rsidRDefault="00966A0B">
      <w:r>
        <w:t>The 55% threshold flagged a significant number of customers as "Below Threshold", clustered in the lower half of the ranking. Average detention minutes across customers ranged from approximately 85 to 94 minutes, with lower detention times correlating with higher on-time rates.</w:t>
      </w:r>
    </w:p>
    <w:p w14:paraId="1FF86970" w14:textId="77777777" w:rsidR="00271E69" w:rsidRDefault="00271E69"/>
    <w:p w14:paraId="17F1AAD5" w14:textId="77777777" w:rsidR="00271E69" w:rsidRDefault="00966A0B">
      <w:r>
        <w:t xml:space="preserve">Superior Retail (CUST00132) recorded the worst performance at 50% </w:t>
      </w:r>
      <w:proofErr w:type="gramStart"/>
      <w:r>
        <w:t>on-time</w:t>
      </w:r>
      <w:proofErr w:type="gramEnd"/>
      <w:r>
        <w:t xml:space="preserve"> with 90.75 average detention minutes and 400 total late deliveries. United Group (CUST00089) led with 60.70% on-time and the lowest detention minutes (294 late deliveries).</w:t>
      </w:r>
    </w:p>
    <w:p w14:paraId="2D336940" w14:textId="77777777" w:rsidR="00271E69" w:rsidRDefault="00271E69"/>
    <w:p w14:paraId="285974BF" w14:textId="77777777" w:rsidR="00271E69" w:rsidRDefault="00966A0B">
      <w:pPr>
        <w:pStyle w:val="Heading2"/>
      </w:pPr>
      <w:r>
        <w:rPr>
          <w:b/>
          <w:bCs/>
        </w:rPr>
        <w:t>Conclusions</w:t>
      </w:r>
    </w:p>
    <w:p w14:paraId="0AE09B95" w14:textId="77777777" w:rsidR="00271E69" w:rsidRDefault="00966A0B">
      <w:r>
        <w:t>• The tight 10% spread across 200 customers suggests delivery performance challenges are systemic — driven by network-wide factors such as route congestion, scheduling, and capacity — rather than being isolated to specific customer accounts.</w:t>
      </w:r>
    </w:p>
    <w:p w14:paraId="65BD4E96" w14:textId="77777777" w:rsidR="00271E69" w:rsidRDefault="00966A0B">
      <w:r>
        <w:t>• Detention time and on-time rate are closely correlated. Customers with higher detention minutes consistently show lower on-time rates, indicating that time spent waiting at facilities directly impacts delivery schedule adherence.</w:t>
      </w:r>
    </w:p>
    <w:p w14:paraId="2A7CB7D2" w14:textId="77777777" w:rsidR="00271E69" w:rsidRDefault="00966A0B">
      <w:r>
        <w:t>• Customers flagged as "Below Threshold" should be prioritised for service recovery conversations, with particular focus on reducing detention at their facilities through better appointment scheduling.</w:t>
      </w:r>
    </w:p>
    <w:p w14:paraId="0DA4B947" w14:textId="77777777" w:rsidR="00271E69" w:rsidRDefault="00966A0B">
      <w:r>
        <w:t>• No single customer type (Dedicated, Spot, Contract) consistently outperformed others, suggesting customer contract type is not a meaningful predictor of service level outcomes.</w:t>
      </w:r>
    </w:p>
    <w:p w14:paraId="03647EEF" w14:textId="77777777" w:rsidR="00271E69" w:rsidRDefault="00271E69"/>
    <w:p w14:paraId="41665BC2" w14:textId="77777777" w:rsidR="00271E69" w:rsidRDefault="00271E69"/>
    <w:p w14:paraId="0EDAFF84" w14:textId="77777777" w:rsidR="00271E69" w:rsidRDefault="00966A0B">
      <w:pPr>
        <w:pStyle w:val="Heading1"/>
      </w:pPr>
      <w:r>
        <w:rPr>
          <w:b/>
          <w:bCs/>
        </w:rPr>
        <w:t>Query 4 — Fuel Efficiency &amp; Cost Analysis</w:t>
      </w:r>
    </w:p>
    <w:p w14:paraId="02891CDC" w14:textId="77777777" w:rsidR="00271E69" w:rsidRDefault="00966A0B">
      <w:r>
        <w:rPr>
          <w:i/>
          <w:iCs/>
          <w:color w:val="555555"/>
        </w:rPr>
        <w:t>Objective: Show average MPG, total fuel cost, and cost per mile by truck. Compare each truck against the fleet average.</w:t>
      </w:r>
    </w:p>
    <w:p w14:paraId="6124D659" w14:textId="77777777" w:rsidR="00271E69" w:rsidRDefault="00271E69"/>
    <w:p w14:paraId="5D3FF78A" w14:textId="77777777" w:rsidR="00271E69" w:rsidRDefault="00966A0B">
      <w:pPr>
        <w:pStyle w:val="Heading2"/>
      </w:pPr>
      <w:r>
        <w:rPr>
          <w:b/>
          <w:bCs/>
        </w:rPr>
        <w:t>Findings</w:t>
      </w:r>
    </w:p>
    <w:p w14:paraId="7A08467E" w14:textId="77777777" w:rsidR="00271E69" w:rsidRDefault="00966A0B">
      <w:r>
        <w:t>120 trucks were analysed, of which 28 recorded no trips due to Inactive or Maintenance status. The fleet average MPG was 6.5 across all active trucks, with minimal variance between individual units. Cost per mile for active trucks ranged narrowly between $0.31 and $0.35 — a 4-cent spread across the entire active fleet.</w:t>
      </w:r>
    </w:p>
    <w:p w14:paraId="2A85360D" w14:textId="77777777" w:rsidR="00271E69" w:rsidRDefault="00271E69"/>
    <w:p w14:paraId="53776850" w14:textId="77777777" w:rsidR="00271E69" w:rsidRDefault="00966A0B">
      <w:r>
        <w:t>Trucks spanning multiple makes (Peterbilt, Freightliner, Kenworth, Volvo, Mack, International) and model years from 2015 to 2021 all returned similar fuel efficiency figures, confirming operational uniformity across the fleet.</w:t>
      </w:r>
    </w:p>
    <w:p w14:paraId="26E9ABDE" w14:textId="77777777" w:rsidR="00271E69" w:rsidRDefault="00271E69"/>
    <w:p w14:paraId="6D731F37" w14:textId="77777777" w:rsidR="00271E69" w:rsidRDefault="00966A0B">
      <w:pPr>
        <w:pStyle w:val="Heading2"/>
      </w:pPr>
      <w:r>
        <w:rPr>
          <w:b/>
          <w:bCs/>
        </w:rPr>
        <w:t>Conclusions</w:t>
      </w:r>
    </w:p>
    <w:p w14:paraId="74816A54" w14:textId="77777777" w:rsidR="00271E69" w:rsidRDefault="00966A0B">
      <w:r>
        <w:t>• Fleet fuel efficiency is remarkably consistent at 6.5 MPG across all makes, model years, and active trucks. Individual truck inefficiency is not a cost risk in this fleet.</w:t>
      </w:r>
    </w:p>
    <w:p w14:paraId="23D90158" w14:textId="77777777" w:rsidR="00271E69" w:rsidRDefault="00966A0B">
      <w:r>
        <w:t>• The primary fuel cost drivers are route distance and diesel price fluctuations — not individual truck or driver behaviour. Cost reduction efforts should focus on route optimisation and fuel card management rather than equipment replacement.</w:t>
      </w:r>
    </w:p>
    <w:p w14:paraId="571544F0" w14:textId="77777777" w:rsidR="00271E69" w:rsidRDefault="00966A0B">
      <w:r>
        <w:t>• 28 trucks in Inactive or Maintenance status represent idle assets generating zero revenue while still accruing potential holding and maintenance costs. Asset utilisation should be reviewed to determine whether these units should be returned to service or disposed of.</w:t>
      </w:r>
    </w:p>
    <w:p w14:paraId="66029F53" w14:textId="77777777" w:rsidR="00271E69" w:rsidRDefault="00966A0B">
      <w:r>
        <w:t>• The narrow cost-per-mile range ($0.31–$0.35) across the fleet suggests strong operational discipline in load planning and route execution.</w:t>
      </w:r>
    </w:p>
    <w:p w14:paraId="0DA721D3" w14:textId="77777777" w:rsidR="00271E69" w:rsidRDefault="00271E69"/>
    <w:p w14:paraId="5FC959FE" w14:textId="77777777" w:rsidR="00271E69" w:rsidRDefault="00271E69"/>
    <w:p w14:paraId="4A8E43E8" w14:textId="77777777" w:rsidR="00271E69" w:rsidRDefault="00966A0B">
      <w:pPr>
        <w:pStyle w:val="Heading1"/>
      </w:pPr>
      <w:r>
        <w:rPr>
          <w:b/>
          <w:bCs/>
        </w:rPr>
        <w:t>Query 5 — Fleet Maintenance Cost &amp; Downtime</w:t>
      </w:r>
    </w:p>
    <w:p w14:paraId="4ED004EE" w14:textId="77777777" w:rsidR="00271E69" w:rsidRDefault="00966A0B">
      <w:r>
        <w:rPr>
          <w:i/>
          <w:iCs/>
          <w:color w:val="555555"/>
        </w:rPr>
        <w:lastRenderedPageBreak/>
        <w:t>Objective: Show total maintenance cost, number of services, and average cost per service by truck. Rank trucks from most expensive to cheapest per service.</w:t>
      </w:r>
    </w:p>
    <w:p w14:paraId="1D59FCA6" w14:textId="77777777" w:rsidR="00271E69" w:rsidRDefault="00271E69"/>
    <w:p w14:paraId="203E2C25" w14:textId="77777777" w:rsidR="00271E69" w:rsidRDefault="00966A0B">
      <w:pPr>
        <w:pStyle w:val="Heading2"/>
      </w:pPr>
      <w:r>
        <w:rPr>
          <w:b/>
          <w:bCs/>
        </w:rPr>
        <w:t>Findings</w:t>
      </w:r>
    </w:p>
    <w:p w14:paraId="0C3057FE" w14:textId="77777777" w:rsidR="00271E69" w:rsidRDefault="00966A0B">
      <w:r>
        <w:t>All 120 trucks appeared in the maintenance analysis. Average cost per service ranged from $2,598 (TRK00040, International 2015, Active) to $1,189 (TRK00083, Kenworth 2015, Active) — a spread of approximately $1,409 per service event.</w:t>
      </w:r>
    </w:p>
    <w:p w14:paraId="35AC68DE" w14:textId="77777777" w:rsidR="00271E69" w:rsidRDefault="00271E69"/>
    <w:p w14:paraId="323FCBF7" w14:textId="77777777" w:rsidR="00271E69" w:rsidRDefault="00966A0B">
      <w:r>
        <w:t>Parts cost consistently accounted for 70–80% of total service cost across all trucks, while labour cost made up the remaining 20–30%. TRK00003 (Peterbilt 2018, Maintenance status) recorded the highest total maintenance spend at $90,161 across 41 service events, likely contributing to its current out-of-service status.</w:t>
      </w:r>
    </w:p>
    <w:p w14:paraId="548088DD" w14:textId="77777777" w:rsidR="00271E69" w:rsidRDefault="00271E69"/>
    <w:p w14:paraId="620F60B9" w14:textId="77777777" w:rsidR="00271E69" w:rsidRDefault="00966A0B">
      <w:r>
        <w:t>The fleet average maintenance cost was $47,754 per truck. Trucks currently in Maintenance or Inactive status tended to cluster toward the higher end of the average cost per service ranking.</w:t>
      </w:r>
    </w:p>
    <w:p w14:paraId="02FE7C44" w14:textId="77777777" w:rsidR="00271E69" w:rsidRDefault="00271E69"/>
    <w:p w14:paraId="77F1F51F" w14:textId="77777777" w:rsidR="00271E69" w:rsidRDefault="00966A0B">
      <w:pPr>
        <w:pStyle w:val="Heading2"/>
      </w:pPr>
      <w:r>
        <w:rPr>
          <w:b/>
          <w:bCs/>
        </w:rPr>
        <w:t>Conclusions</w:t>
      </w:r>
    </w:p>
    <w:p w14:paraId="18559DDA" w14:textId="77777777" w:rsidR="00271E69" w:rsidRDefault="00966A0B">
      <w:r>
        <w:t>• Parts cost is the dominant maintenance expenditure driver across the entire fleet. Labour efficiency is not the issue — parts sourcing, supplier pricing, and component failure rates are the key cost levers to manage.</w:t>
      </w:r>
    </w:p>
    <w:p w14:paraId="27957ADB" w14:textId="77777777" w:rsidR="00271E69" w:rsidRDefault="00966A0B">
      <w:r>
        <w:t>• Older 2015 model trucks appear frequently at the top of the cost-per-service ranking, suggesting age-related parts deterioration is contributing to higher repair costs. A fleet renewal assessment for high-cost older units is recommended.</w:t>
      </w:r>
    </w:p>
    <w:p w14:paraId="2C96E20D" w14:textId="77777777" w:rsidR="00271E69" w:rsidRDefault="00966A0B">
      <w:r>
        <w:t>• Trucks in Maintenance or Inactive status show above-average service costs, indicating these units were likely withdrawn from active duty due to escalating repair costs rather than scheduled downtime.</w:t>
      </w:r>
    </w:p>
    <w:p w14:paraId="336AD2EE" w14:textId="77777777" w:rsidR="00271E69" w:rsidRDefault="00966A0B">
      <w:r>
        <w:t>• Total downtime hours should be cross-referenced against revenue loss per truck to quantify the full financial impact of maintenance events — not just the direct repair cost.</w:t>
      </w:r>
    </w:p>
    <w:p w14:paraId="242AD5DF" w14:textId="77777777" w:rsidR="00271E69" w:rsidRDefault="00271E69"/>
    <w:p w14:paraId="1A5B8496" w14:textId="77777777" w:rsidR="00271E69" w:rsidRDefault="00271E69"/>
    <w:p w14:paraId="43FA274A" w14:textId="77777777" w:rsidR="00271E69" w:rsidRDefault="00966A0B">
      <w:pPr>
        <w:pStyle w:val="Heading1"/>
      </w:pPr>
      <w:r>
        <w:rPr>
          <w:b/>
          <w:bCs/>
        </w:rPr>
        <w:t>Query 6 — Monthly Load Volume &amp; Revenue Trend</w:t>
      </w:r>
    </w:p>
    <w:p w14:paraId="6EC20F95" w14:textId="77777777" w:rsidR="00271E69" w:rsidRDefault="00966A0B">
      <w:r>
        <w:rPr>
          <w:i/>
          <w:iCs/>
          <w:color w:val="555555"/>
        </w:rPr>
        <w:t>Objective: Show load count, total revenue, and month-over-month trend using loads grouped by month.</w:t>
      </w:r>
    </w:p>
    <w:p w14:paraId="25DCAED5" w14:textId="77777777" w:rsidR="00271E69" w:rsidRDefault="00271E69"/>
    <w:p w14:paraId="1E2BE3D8" w14:textId="77777777" w:rsidR="00271E69" w:rsidRDefault="00966A0B">
      <w:pPr>
        <w:pStyle w:val="Heading2"/>
      </w:pPr>
      <w:r>
        <w:rPr>
          <w:b/>
          <w:bCs/>
        </w:rPr>
        <w:t>Findings</w:t>
      </w:r>
    </w:p>
    <w:p w14:paraId="14D08D5E" w14:textId="77777777" w:rsidR="00271E69" w:rsidRDefault="00966A0B">
      <w:r>
        <w:t>36 months of load and revenue data were analysed (January 2022 — December 2024). Monthly load volumes ranged between 2,136 and 2,496 loads, while monthly revenue ranged from approximately $6.6M to $7.7M. Load volume and revenue moved in near-perfect lockstep across all 36 months.</w:t>
      </w:r>
    </w:p>
    <w:p w14:paraId="1FCC15F5" w14:textId="77777777" w:rsidR="00271E69" w:rsidRDefault="00271E69"/>
    <w:p w14:paraId="7373246E" w14:textId="77777777" w:rsidR="00271E69" w:rsidRDefault="00966A0B">
      <w:r>
        <w:t>A consistent February dip was recorded across all three years: -13.11% revenue in 2022, -10.90% in 2023, and -5.63% in 2024. This was followed by a sharp March recovery in each year: +12.58% in 2022, +13.46% in 2023, and +6.93% in 2024. No significant growth or decline trend was observed over the 3-year period — the business operated with stable seasonal oscillation.</w:t>
      </w:r>
    </w:p>
    <w:p w14:paraId="2349744B" w14:textId="77777777" w:rsidR="00271E69" w:rsidRDefault="00271E69"/>
    <w:p w14:paraId="53FF1D1D" w14:textId="77777777" w:rsidR="00271E69" w:rsidRDefault="00966A0B">
      <w:pPr>
        <w:pStyle w:val="Heading2"/>
      </w:pPr>
      <w:r>
        <w:rPr>
          <w:b/>
          <w:bCs/>
        </w:rPr>
        <w:t>Conclusions</w:t>
      </w:r>
    </w:p>
    <w:p w14:paraId="7D0CC064" w14:textId="77777777" w:rsidR="00271E69" w:rsidRDefault="00966A0B">
      <w:r>
        <w:t>• Load volume is the primary revenue driver. Revenue per load remains stable month to month, confirming that growing revenue requires moving more loads — not negotiating higher rates.</w:t>
      </w:r>
    </w:p>
    <w:p w14:paraId="6D3DBAE1" w14:textId="77777777" w:rsidR="00271E69" w:rsidRDefault="00966A0B">
      <w:r>
        <w:t>• The February dip is a structural seasonal pattern driven by fewer calendar days and post-holiday freight slowdown. This should be factored into annual capacity planning and driver scheduling to avoid over-resourcing during the slowest month of the year.</w:t>
      </w:r>
    </w:p>
    <w:p w14:paraId="743741FF" w14:textId="77777777" w:rsidR="00271E69" w:rsidRDefault="00966A0B">
      <w:r>
        <w:t>• The consistent March recovery indicates strong demand rebound. Ensuring fleet availability and driver readiness heading into March each year is critical to capturing the full seasonal uplift.</w:t>
      </w:r>
    </w:p>
    <w:p w14:paraId="06EBC203" w14:textId="77777777" w:rsidR="00271E69" w:rsidRDefault="00966A0B">
      <w:r>
        <w:t>• The absence of a meaningful growth trend over 3 years suggests the business has reached a stable operational plateau. Revenue growth will require either network expansion (new routes/customers) or rate increases rather than organic volume growth.</w:t>
      </w:r>
    </w:p>
    <w:p w14:paraId="1D7E8FA2" w14:textId="77777777" w:rsidR="00271E69" w:rsidRDefault="00271E69"/>
    <w:p w14:paraId="1B590994" w14:textId="77777777" w:rsidR="00271E69" w:rsidRDefault="00271E69"/>
    <w:p w14:paraId="41D1306F" w14:textId="77777777" w:rsidR="00271E69" w:rsidRDefault="00271E69">
      <w:pPr>
        <w:pBdr>
          <w:top w:val="single" w:sz="6" w:space="0" w:color="999999"/>
        </w:pBdr>
      </w:pPr>
    </w:p>
    <w:p w14:paraId="113BD89C" w14:textId="77777777" w:rsidR="00271E69" w:rsidRDefault="00966A0B">
      <w:pPr>
        <w:jc w:val="center"/>
      </w:pPr>
      <w:r>
        <w:rPr>
          <w:i/>
          <w:iCs/>
          <w:color w:val="888888"/>
          <w:sz w:val="18"/>
          <w:szCs w:val="18"/>
        </w:rPr>
        <w:t>Project 6 — Logistics Operations Database | Jurgens Pretorius | GitHub: jurgensp09-ship-it</w:t>
      </w:r>
    </w:p>
    <w:sectPr w:rsidR="00271E6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9062E"/>
    <w:multiLevelType w:val="hybridMultilevel"/>
    <w:tmpl w:val="4C220D06"/>
    <w:lvl w:ilvl="0" w:tplc="0D5AB476">
      <w:start w:val="1"/>
      <w:numFmt w:val="bullet"/>
      <w:lvlText w:val="●"/>
      <w:lvlJc w:val="left"/>
      <w:pPr>
        <w:ind w:left="720" w:hanging="360"/>
      </w:pPr>
    </w:lvl>
    <w:lvl w:ilvl="1" w:tplc="8342E652">
      <w:start w:val="1"/>
      <w:numFmt w:val="bullet"/>
      <w:lvlText w:val="○"/>
      <w:lvlJc w:val="left"/>
      <w:pPr>
        <w:ind w:left="1440" w:hanging="360"/>
      </w:pPr>
    </w:lvl>
    <w:lvl w:ilvl="2" w:tplc="9536E484">
      <w:start w:val="1"/>
      <w:numFmt w:val="bullet"/>
      <w:lvlText w:val="■"/>
      <w:lvlJc w:val="left"/>
      <w:pPr>
        <w:ind w:left="2160" w:hanging="360"/>
      </w:pPr>
    </w:lvl>
    <w:lvl w:ilvl="3" w:tplc="582C28EC">
      <w:start w:val="1"/>
      <w:numFmt w:val="bullet"/>
      <w:lvlText w:val="●"/>
      <w:lvlJc w:val="left"/>
      <w:pPr>
        <w:ind w:left="2880" w:hanging="360"/>
      </w:pPr>
    </w:lvl>
    <w:lvl w:ilvl="4" w:tplc="70700678">
      <w:start w:val="1"/>
      <w:numFmt w:val="bullet"/>
      <w:lvlText w:val="○"/>
      <w:lvlJc w:val="left"/>
      <w:pPr>
        <w:ind w:left="3600" w:hanging="360"/>
      </w:pPr>
    </w:lvl>
    <w:lvl w:ilvl="5" w:tplc="8326B620">
      <w:start w:val="1"/>
      <w:numFmt w:val="bullet"/>
      <w:lvlText w:val="■"/>
      <w:lvlJc w:val="left"/>
      <w:pPr>
        <w:ind w:left="4320" w:hanging="360"/>
      </w:pPr>
    </w:lvl>
    <w:lvl w:ilvl="6" w:tplc="7A2A134A">
      <w:start w:val="1"/>
      <w:numFmt w:val="bullet"/>
      <w:lvlText w:val="●"/>
      <w:lvlJc w:val="left"/>
      <w:pPr>
        <w:ind w:left="5040" w:hanging="360"/>
      </w:pPr>
    </w:lvl>
    <w:lvl w:ilvl="7" w:tplc="7194ACE6">
      <w:start w:val="1"/>
      <w:numFmt w:val="bullet"/>
      <w:lvlText w:val="●"/>
      <w:lvlJc w:val="left"/>
      <w:pPr>
        <w:ind w:left="5760" w:hanging="360"/>
      </w:pPr>
    </w:lvl>
    <w:lvl w:ilvl="8" w:tplc="778A8D88">
      <w:start w:val="1"/>
      <w:numFmt w:val="bullet"/>
      <w:lvlText w:val="●"/>
      <w:lvlJc w:val="left"/>
      <w:pPr>
        <w:ind w:left="6480" w:hanging="360"/>
      </w:pPr>
    </w:lvl>
  </w:abstractNum>
  <w:num w:numId="1" w16cid:durableId="478501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E69"/>
    <w:rsid w:val="00271E69"/>
    <w:rsid w:val="00966A0B"/>
    <w:rsid w:val="009B0BF0"/>
    <w:rsid w:val="00A1481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96FAF"/>
  <w15:docId w15:val="{847C2D7F-B8B2-4643-9E17-4D54905BB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1546</Words>
  <Characters>8813</Characters>
  <Application>Microsoft Office Word</Application>
  <DocSecurity>0</DocSecurity>
  <Lines>73</Lines>
  <Paragraphs>20</Paragraphs>
  <ScaleCrop>false</ScaleCrop>
  <Company/>
  <LinksUpToDate>false</LinksUpToDate>
  <CharactersWithSpaces>10339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Jurgens Pretorius</cp:lastModifiedBy>
  <cp:revision>2</cp:revision>
  <dcterms:created xsi:type="dcterms:W3CDTF">2026-07-10T14:09:00Z</dcterms:created>
  <dcterms:modified xsi:type="dcterms:W3CDTF">2026-07-10T14:09:00Z</dcterms:modified>
</cp:coreProperties>
</file>