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PhishX 60 Percent Implementation Plan</w:t>
      </w:r>
    </w:p>
    <w:p>
      <w:r>
        <w:t>Implementation steps and responsibilities for a three person team</w:t>
      </w:r>
    </w:p>
    <w:p>
      <w:r>
        <w:t>The milestone is a working local prototype that accepts a URL, detects lexical and visual impersonation signals, predicts phishing risk with a classical model, and explains the result in a web interface. Person 1 and Person 2 own the implementation. Person 3 provides a small, independent test and documentation package while continuing their other project.</w:t>
      </w:r>
    </w:p>
    <w:p>
      <w:pPr>
        <w:pStyle w:val="Heading2"/>
      </w:pPr>
      <w:r>
        <w:t>The demonstration at 60 percent</w:t>
      </w:r>
    </w:p>
    <w:p>
      <w:pPr>
        <w:pStyle w:val="ListBullet"/>
      </w:pPr>
      <w:r>
        <w:t>A user submits a URL in the React interface. FastAPI validates it, extracts features, and compares the domain skeleton against a small brand list.</w:t>
      </w:r>
    </w:p>
    <w:p>
      <w:pPr>
        <w:pStyle w:val="ListBullet"/>
      </w:pPr>
      <w:r>
        <w:t>A trained classical model returns a phishing probability. The interface displays a 0–100 risk score, risk level, model used, and understandable reasons supported by feature attributions.</w:t>
      </w:r>
    </w:p>
    <w:p>
      <w:pPr>
        <w:pStyle w:val="ListBullet"/>
      </w:pPr>
      <w:r>
        <w:t>A repeatable evaluation reports precision, recall, F1, false positives, and initial results for a few manipulation families. All scores come from actual runs.</w:t>
      </w:r>
    </w:p>
    <w:p>
      <w:pPr>
        <w:pStyle w:val="Heading2"/>
      </w:pPr>
      <w:r>
        <w:t>Milestone accounting</w:t>
      </w:r>
    </w:p>
    <w:p>
      <w:r>
        <w:t>Use the following proposed weights to track the full project. These are planning weights, not a claim that a particular amount of code or research has already been completed. Count a module only when its acceptance evidence exists.</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Pr>
          <w:p>
            <w:pPr>
              <w:spacing w:after="80"/>
            </w:pPr>
            <w:r>
              <w:rPr>
                <w:sz w:val="18"/>
              </w:rPr>
              <w:t>Full project module</w:t>
            </w:r>
          </w:p>
        </w:tc>
        <w:tc>
          <w:tcPr>
            <w:tcW w:type="dxa" w:w="3360"/>
          </w:tcPr>
          <w:p>
            <w:pPr>
              <w:spacing w:after="80"/>
            </w:pPr>
            <w:r>
              <w:rPr>
                <w:sz w:val="18"/>
              </w:rPr>
              <w:t>Weight</w:t>
            </w:r>
          </w:p>
        </w:tc>
        <w:tc>
          <w:tcPr>
            <w:tcW w:type="dxa" w:w="3360"/>
          </w:tcPr>
          <w:p>
            <w:pPr>
              <w:spacing w:after="80"/>
            </w:pPr>
            <w:r>
              <w:rPr>
                <w:sz w:val="18"/>
              </w:rPr>
              <w:t>At this milestone</w:t>
            </w:r>
          </w:p>
        </w:tc>
      </w:tr>
      <w:tr>
        <w:trPr>
          <w:cantSplit/>
        </w:trPr>
        <w:tc>
          <w:tcPr>
            <w:tcW w:type="dxa" w:w="3360"/>
          </w:tcPr>
          <w:p>
            <w:pPr>
              <w:spacing w:after="80"/>
            </w:pPr>
            <w:r>
              <w:rPr>
                <w:sz w:val="18"/>
              </w:rPr>
              <w:t>Dataset preparation and leakage controls</w:t>
            </w:r>
          </w:p>
        </w:tc>
        <w:tc>
          <w:tcPr>
            <w:tcW w:type="dxa" w:w="3360"/>
          </w:tcPr>
          <w:p>
            <w:pPr>
              <w:spacing w:after="80"/>
            </w:pPr>
            <w:r>
              <w:rPr>
                <w:sz w:val="18"/>
              </w:rPr>
              <w:t>10%</w:t>
            </w:r>
          </w:p>
        </w:tc>
        <w:tc>
          <w:tcPr>
            <w:tcW w:type="dxa" w:w="3360"/>
          </w:tcPr>
          <w:p>
            <w:pPr>
              <w:spacing w:after="80"/>
            </w:pPr>
            <w:r>
              <w:rPr>
                <w:sz w:val="18"/>
              </w:rPr>
              <w:t>Complete</w:t>
            </w:r>
          </w:p>
        </w:tc>
      </w:tr>
      <w:tr>
        <w:trPr>
          <w:cantSplit/>
        </w:trPr>
        <w:tc>
          <w:tcPr>
            <w:tcW w:type="dxa" w:w="3360"/>
          </w:tcPr>
          <w:p>
            <w:pPr>
              <w:spacing w:after="80"/>
            </w:pPr>
            <w:r>
              <w:rPr>
                <w:sz w:val="18"/>
              </w:rPr>
              <w:t>URL normalization and lexical or structural features</w:t>
            </w:r>
          </w:p>
        </w:tc>
        <w:tc>
          <w:tcPr>
            <w:tcW w:type="dxa" w:w="3360"/>
          </w:tcPr>
          <w:p>
            <w:pPr>
              <w:spacing w:after="80"/>
            </w:pPr>
            <w:r>
              <w:rPr>
                <w:sz w:val="18"/>
              </w:rPr>
              <w:t>10%</w:t>
            </w:r>
          </w:p>
        </w:tc>
        <w:tc>
          <w:tcPr>
            <w:tcW w:type="dxa" w:w="3360"/>
          </w:tcPr>
          <w:p>
            <w:pPr>
              <w:spacing w:after="80"/>
            </w:pPr>
            <w:r>
              <w:rPr>
                <w:sz w:val="18"/>
              </w:rPr>
              <w:t>Complete</w:t>
            </w:r>
          </w:p>
        </w:tc>
      </w:tr>
      <w:tr>
        <w:trPr>
          <w:cantSplit/>
        </w:trPr>
        <w:tc>
          <w:tcPr>
            <w:tcW w:type="dxa" w:w="3360"/>
          </w:tcPr>
          <w:p>
            <w:pPr>
              <w:spacing w:after="80"/>
            </w:pPr>
            <w:r>
              <w:rPr>
                <w:sz w:val="18"/>
              </w:rPr>
              <w:t>Unicode skeleton and brand matching</w:t>
            </w:r>
          </w:p>
        </w:tc>
        <w:tc>
          <w:tcPr>
            <w:tcW w:type="dxa" w:w="3360"/>
          </w:tcPr>
          <w:p>
            <w:pPr>
              <w:spacing w:after="80"/>
            </w:pPr>
            <w:r>
              <w:rPr>
                <w:sz w:val="18"/>
              </w:rPr>
              <w:t>10%</w:t>
            </w:r>
          </w:p>
        </w:tc>
        <w:tc>
          <w:tcPr>
            <w:tcW w:type="dxa" w:w="3360"/>
          </w:tcPr>
          <w:p>
            <w:pPr>
              <w:spacing w:after="80"/>
            </w:pPr>
            <w:r>
              <w:rPr>
                <w:sz w:val="18"/>
              </w:rPr>
              <w:t>Complete</w:t>
            </w:r>
          </w:p>
        </w:tc>
      </w:tr>
      <w:tr>
        <w:trPr>
          <w:cantSplit/>
        </w:trPr>
        <w:tc>
          <w:tcPr>
            <w:tcW w:type="dxa" w:w="3360"/>
          </w:tcPr>
          <w:p>
            <w:pPr>
              <w:spacing w:after="80"/>
            </w:pPr>
            <w:r>
              <w:rPr>
                <w:sz w:val="18"/>
              </w:rPr>
              <w:t>Classical model and basic evaluation</w:t>
            </w:r>
          </w:p>
        </w:tc>
        <w:tc>
          <w:tcPr>
            <w:tcW w:type="dxa" w:w="3360"/>
          </w:tcPr>
          <w:p>
            <w:pPr>
              <w:spacing w:after="80"/>
            </w:pPr>
            <w:r>
              <w:rPr>
                <w:sz w:val="18"/>
              </w:rPr>
              <w:t>10%</w:t>
            </w:r>
          </w:p>
        </w:tc>
        <w:tc>
          <w:tcPr>
            <w:tcW w:type="dxa" w:w="3360"/>
          </w:tcPr>
          <w:p>
            <w:pPr>
              <w:spacing w:after="80"/>
            </w:pPr>
            <w:r>
              <w:rPr>
                <w:sz w:val="18"/>
              </w:rPr>
              <w:t>Complete</w:t>
            </w:r>
          </w:p>
        </w:tc>
      </w:tr>
      <w:tr>
        <w:trPr>
          <w:cantSplit/>
        </w:trPr>
        <w:tc>
          <w:tcPr>
            <w:tcW w:type="dxa" w:w="3360"/>
          </w:tcPr>
          <w:p>
            <w:pPr>
              <w:spacing w:after="80"/>
            </w:pPr>
            <w:r>
              <w:rPr>
                <w:sz w:val="18"/>
              </w:rPr>
              <w:t>FastAPI and basic React scanner</w:t>
            </w:r>
          </w:p>
        </w:tc>
        <w:tc>
          <w:tcPr>
            <w:tcW w:type="dxa" w:w="3360"/>
          </w:tcPr>
          <w:p>
            <w:pPr>
              <w:spacing w:after="80"/>
            </w:pPr>
            <w:r>
              <w:rPr>
                <w:sz w:val="18"/>
              </w:rPr>
              <w:t>10%</w:t>
            </w:r>
          </w:p>
        </w:tc>
        <w:tc>
          <w:tcPr>
            <w:tcW w:type="dxa" w:w="3360"/>
          </w:tcPr>
          <w:p>
            <w:pPr>
              <w:spacing w:after="80"/>
            </w:pPr>
            <w:r>
              <w:rPr>
                <w:sz w:val="18"/>
              </w:rPr>
              <w:t>Complete</w:t>
            </w:r>
          </w:p>
        </w:tc>
      </w:tr>
      <w:tr>
        <w:trPr>
          <w:cantSplit/>
        </w:trPr>
        <w:tc>
          <w:tcPr>
            <w:tcW w:type="dxa" w:w="3360"/>
          </w:tcPr>
          <w:p>
            <w:pPr>
              <w:spacing w:after="80"/>
            </w:pPr>
            <w:r>
              <w:rPr>
                <w:sz w:val="18"/>
              </w:rPr>
              <w:t>SHAP explanations and initial robustness tests</w:t>
            </w:r>
          </w:p>
        </w:tc>
        <w:tc>
          <w:tcPr>
            <w:tcW w:type="dxa" w:w="3360"/>
          </w:tcPr>
          <w:p>
            <w:pPr>
              <w:spacing w:after="80"/>
            </w:pPr>
            <w:r>
              <w:rPr>
                <w:sz w:val="18"/>
              </w:rPr>
              <w:t>10%</w:t>
            </w:r>
          </w:p>
        </w:tc>
        <w:tc>
          <w:tcPr>
            <w:tcW w:type="dxa" w:w="3360"/>
          </w:tcPr>
          <w:p>
            <w:pPr>
              <w:spacing w:after="80"/>
            </w:pPr>
            <w:r>
              <w:rPr>
                <w:sz w:val="18"/>
              </w:rPr>
              <w:t>Complete</w:t>
            </w:r>
          </w:p>
        </w:tc>
      </w:tr>
      <w:tr>
        <w:trPr>
          <w:cantSplit/>
        </w:trPr>
        <w:tc>
          <w:tcPr>
            <w:tcW w:type="dxa" w:w="3360"/>
          </w:tcPr>
          <w:p>
            <w:pPr>
              <w:spacing w:after="80"/>
            </w:pPr>
            <w:r>
              <w:rPr>
                <w:sz w:val="18"/>
              </w:rPr>
              <w:t>Char CNN and confidence gated cascade</w:t>
            </w:r>
          </w:p>
        </w:tc>
        <w:tc>
          <w:tcPr>
            <w:tcW w:type="dxa" w:w="3360"/>
          </w:tcPr>
          <w:p>
            <w:pPr>
              <w:spacing w:after="80"/>
            </w:pPr>
            <w:r>
              <w:rPr>
                <w:sz w:val="18"/>
              </w:rPr>
              <w:t>20%</w:t>
            </w:r>
          </w:p>
        </w:tc>
        <w:tc>
          <w:tcPr>
            <w:tcW w:type="dxa" w:w="3360"/>
          </w:tcPr>
          <w:p>
            <w:pPr>
              <w:spacing w:after="80"/>
            </w:pPr>
            <w:r>
              <w:rPr>
                <w:sz w:val="18"/>
              </w:rPr>
              <w:t>Next stage</w:t>
            </w:r>
          </w:p>
        </w:tc>
      </w:tr>
      <w:tr>
        <w:trPr>
          <w:cantSplit/>
        </w:trPr>
        <w:tc>
          <w:tcPr>
            <w:tcW w:type="dxa" w:w="3360"/>
          </w:tcPr>
          <w:p>
            <w:pPr>
              <w:spacing w:after="80"/>
            </w:pPr>
            <w:r>
              <w:rPr>
                <w:sz w:val="18"/>
              </w:rPr>
              <w:t>Live domain signals and expanded robustness study</w:t>
            </w:r>
          </w:p>
        </w:tc>
        <w:tc>
          <w:tcPr>
            <w:tcW w:type="dxa" w:w="3360"/>
          </w:tcPr>
          <w:p>
            <w:pPr>
              <w:spacing w:after="80"/>
            </w:pPr>
            <w:r>
              <w:rPr>
                <w:sz w:val="18"/>
              </w:rPr>
              <w:t>10%</w:t>
            </w:r>
          </w:p>
        </w:tc>
        <w:tc>
          <w:tcPr>
            <w:tcW w:type="dxa" w:w="3360"/>
          </w:tcPr>
          <w:p>
            <w:pPr>
              <w:spacing w:after="80"/>
            </w:pPr>
            <w:r>
              <w:rPr>
                <w:sz w:val="18"/>
              </w:rPr>
              <w:t>Next stage</w:t>
            </w:r>
          </w:p>
        </w:tc>
      </w:tr>
      <w:tr>
        <w:trPr>
          <w:cantSplit/>
        </w:trPr>
        <w:tc>
          <w:tcPr>
            <w:tcW w:type="dxa" w:w="3360"/>
          </w:tcPr>
          <w:p>
            <w:pPr>
              <w:spacing w:after="80"/>
            </w:pPr>
            <w:r>
              <w:rPr>
                <w:sz w:val="18"/>
              </w:rPr>
              <w:t>Deployment and final validation</w:t>
            </w:r>
          </w:p>
        </w:tc>
        <w:tc>
          <w:tcPr>
            <w:tcW w:type="dxa" w:w="3360"/>
          </w:tcPr>
          <w:p>
            <w:pPr>
              <w:spacing w:after="80"/>
            </w:pPr>
            <w:r>
              <w:rPr>
                <w:sz w:val="18"/>
              </w:rPr>
              <w:t>10%</w:t>
            </w:r>
          </w:p>
        </w:tc>
        <w:tc>
          <w:tcPr>
            <w:tcW w:type="dxa" w:w="3360"/>
          </w:tcPr>
          <w:p>
            <w:pPr>
              <w:spacing w:after="80"/>
            </w:pPr>
            <w:r>
              <w:rPr>
                <w:sz w:val="18"/>
              </w:rPr>
              <w:t>Next stage</w:t>
            </w:r>
          </w:p>
        </w:tc>
      </w:tr>
    </w:tbl>
    <w:p>
      <w:r>
        <w:t>The first six modules total 60%. This milestone establishes the classical path. Full cascade behavior remains a later deliverable.</w:t>
      </w:r>
    </w:p>
    <w:p>
      <w:r>
        <w:br w:type="page"/>
      </w:r>
    </w:p>
    <w:p>
      <w:pPr>
        <w:pStyle w:val="Heading1"/>
      </w:pPr>
      <w:r>
        <w:t>Responsibilities and workload</w:t>
      </w:r>
    </w:p>
    <w:p>
      <w:r>
        <w:t>Assign names before starting. The presentation lists Aniruth Kartikeyan, Gauri Arvind, and Megha Sajith Maya. Choose the person occupied with the other project as Person 3. The effort split below applies to this milestone, rather than to grades or final project credit.</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Pr>
          <w:p>
            <w:pPr>
              <w:spacing w:after="80"/>
            </w:pPr>
            <w:r>
              <w:rPr>
                <w:sz w:val="18"/>
              </w:rPr>
              <w:t>Role</w:t>
            </w:r>
          </w:p>
        </w:tc>
        <w:tc>
          <w:tcPr>
            <w:tcW w:type="dxa" w:w="3360"/>
          </w:tcPr>
          <w:p>
            <w:pPr>
              <w:spacing w:after="80"/>
            </w:pPr>
            <w:r>
              <w:rPr>
                <w:sz w:val="18"/>
              </w:rPr>
              <w:t>Estimated share</w:t>
            </w:r>
          </w:p>
        </w:tc>
        <w:tc>
          <w:tcPr>
            <w:tcW w:type="dxa" w:w="3360"/>
          </w:tcPr>
          <w:p>
            <w:pPr>
              <w:spacing w:after="80"/>
            </w:pPr>
            <w:r>
              <w:rPr>
                <w:sz w:val="18"/>
              </w:rPr>
              <w:t>Primary responsibility</w:t>
            </w:r>
          </w:p>
        </w:tc>
      </w:tr>
      <w:tr>
        <w:trPr>
          <w:cantSplit/>
        </w:trPr>
        <w:tc>
          <w:tcPr>
            <w:tcW w:type="dxa" w:w="3360"/>
          </w:tcPr>
          <w:p>
            <w:pPr>
              <w:spacing w:after="80"/>
            </w:pPr>
            <w:r>
              <w:rPr>
                <w:sz w:val="18"/>
              </w:rPr>
              <w:t>Person 1</w:t>
            </w:r>
          </w:p>
        </w:tc>
        <w:tc>
          <w:tcPr>
            <w:tcW w:type="dxa" w:w="3360"/>
          </w:tcPr>
          <w:p>
            <w:pPr>
              <w:spacing w:after="80"/>
            </w:pPr>
            <w:r>
              <w:rPr>
                <w:sz w:val="18"/>
              </w:rPr>
              <w:t>45% • about 36 hours</w:t>
            </w:r>
          </w:p>
        </w:tc>
        <w:tc>
          <w:tcPr>
            <w:tcW w:type="dxa" w:w="3360"/>
          </w:tcPr>
          <w:p>
            <w:pPr>
              <w:spacing w:after="80"/>
            </w:pPr>
            <w:r>
              <w:rPr>
                <w:sz w:val="18"/>
              </w:rPr>
              <w:t>Data, normalization, features, skeleton matching, model training and evaluation</w:t>
            </w:r>
          </w:p>
        </w:tc>
      </w:tr>
      <w:tr>
        <w:trPr>
          <w:cantSplit/>
        </w:trPr>
        <w:tc>
          <w:tcPr>
            <w:tcW w:type="dxa" w:w="3360"/>
          </w:tcPr>
          <w:p>
            <w:pPr>
              <w:spacing w:after="80"/>
            </w:pPr>
            <w:r>
              <w:rPr>
                <w:sz w:val="18"/>
              </w:rPr>
              <w:t>Person 2</w:t>
            </w:r>
          </w:p>
        </w:tc>
        <w:tc>
          <w:tcPr>
            <w:tcW w:type="dxa" w:w="3360"/>
          </w:tcPr>
          <w:p>
            <w:pPr>
              <w:spacing w:after="80"/>
            </w:pPr>
            <w:r>
              <w:rPr>
                <w:sz w:val="18"/>
              </w:rPr>
              <w:t>45% • about 36 hours</w:t>
            </w:r>
          </w:p>
        </w:tc>
        <w:tc>
          <w:tcPr>
            <w:tcW w:type="dxa" w:w="3360"/>
          </w:tcPr>
          <w:p>
            <w:pPr>
              <w:spacing w:after="80"/>
            </w:pPr>
            <w:r>
              <w:rPr>
                <w:sz w:val="18"/>
              </w:rPr>
              <w:t>FastAPI, React interface, SHAP integration, application integration and demo</w:t>
            </w:r>
          </w:p>
        </w:tc>
      </w:tr>
      <w:tr>
        <w:trPr>
          <w:cantSplit/>
        </w:trPr>
        <w:tc>
          <w:tcPr>
            <w:tcW w:type="dxa" w:w="3360"/>
          </w:tcPr>
          <w:p>
            <w:pPr>
              <w:spacing w:after="80"/>
            </w:pPr>
            <w:r>
              <w:rPr>
                <w:sz w:val="18"/>
              </w:rPr>
              <w:t>Person 3</w:t>
            </w:r>
          </w:p>
        </w:tc>
        <w:tc>
          <w:tcPr>
            <w:tcW w:type="dxa" w:w="3360"/>
          </w:tcPr>
          <w:p>
            <w:pPr>
              <w:spacing w:after="80"/>
            </w:pPr>
            <w:r>
              <w:rPr>
                <w:sz w:val="18"/>
              </w:rPr>
              <w:t>10% • about 8 hours maximum</w:t>
            </w:r>
          </w:p>
        </w:tc>
        <w:tc>
          <w:tcPr>
            <w:tcW w:type="dxa" w:w="3360"/>
          </w:tcPr>
          <w:p>
            <w:pPr>
              <w:spacing w:after="80"/>
            </w:pPr>
            <w:r>
              <w:rPr>
                <w:sz w:val="18"/>
              </w:rPr>
              <w:t>Small test fixture, independent manual checks, screenshots and short user guide</w:t>
            </w:r>
          </w:p>
        </w:tc>
      </w:tr>
    </w:tbl>
    <w:p>
      <w:pPr>
        <w:pStyle w:val="Heading2"/>
      </w:pPr>
      <w:r>
        <w:t>Person 1 deliverables</w:t>
      </w:r>
    </w:p>
    <w:p>
      <w:pPr>
        <w:pStyle w:val="ListBullet"/>
      </w:pPr>
      <w:r>
        <w:t>Versioned dataset manifest, cleaning script, label definition, and reproducible train/validation/test split.</w:t>
      </w:r>
    </w:p>
    <w:p>
      <w:pPr>
        <w:pStyle w:val="ListBullet"/>
      </w:pPr>
      <w:r>
        <w:t>Shared URL parser and feature extractor, Unicode skeleton utility, and curated brand list with expected match examples.</w:t>
      </w:r>
    </w:p>
    <w:p>
      <w:pPr>
        <w:pStyle w:val="ListBullet"/>
      </w:pPr>
      <w:r>
        <w:t>Saved classical model, ordered feature schema, inference wrapper, training configuration, and evaluation report.</w:t>
      </w:r>
    </w:p>
    <w:p>
      <w:pPr>
        <w:pStyle w:val="ListBullet"/>
      </w:pPr>
      <w:r>
        <w:t>Initial manipulation tests and measured results. Help Person 2 resolve feature or model integration errors.</w:t>
      </w:r>
    </w:p>
    <w:p>
      <w:pPr>
        <w:pStyle w:val="Heading2"/>
      </w:pPr>
      <w:r>
        <w:t>Person 2 deliverables</w:t>
      </w:r>
    </w:p>
    <w:p>
      <w:pPr>
        <w:pStyle w:val="ListBullet"/>
      </w:pPr>
      <w:r>
        <w:t>FastAPI /health and /scan endpoints, input validation, stable response schema, and local startup instructions.</w:t>
      </w:r>
    </w:p>
    <w:p>
      <w:pPr>
        <w:pStyle w:val="ListBullet"/>
      </w:pPr>
      <w:r>
        <w:t>React and Tailwind scanner with loading, error, and result states. Show risk level, reasons, matched brand, and model path.</w:t>
      </w:r>
    </w:p>
    <w:p>
      <w:pPr>
        <w:pStyle w:val="ListBullet"/>
      </w:pPr>
      <w:r>
        <w:t>SHAP integration for the classical model with plain language reasons, plus feature attribution sanity checks.</w:t>
      </w:r>
    </w:p>
    <w:p>
      <w:pPr>
        <w:pStyle w:val="ListBullet"/>
      </w:pPr>
      <w:r>
        <w:t>An integrated local demo, API checks, and a README that another teammate can follow on a fresh checkout.</w:t>
      </w:r>
    </w:p>
    <w:p>
      <w:pPr>
        <w:pStyle w:val="Heading2"/>
      </w:pPr>
      <w:r>
        <w:t>Person 3 deliverables with a firm time limit</w:t>
      </w:r>
    </w:p>
    <w:p>
      <w:pPr>
        <w:pStyle w:val="ListBullet"/>
      </w:pPr>
      <w:r>
        <w:t>Prepare a small fixture of 20 URL strings: 6 benign examples, 6 labeled phishing examples, 4 synthetic homoglyph examples, and 4 malformed inputs. Record provenance and expected behavior. Synthetic strings must remain labeled as synthetic.</w:t>
      </w:r>
    </w:p>
    <w:p>
      <w:pPr>
        <w:pStyle w:val="ListBullet"/>
      </w:pPr>
      <w:r>
        <w:t>Run the agreed manual checks once the scanner works. Record actual results and raise a concise bug list, rather than taking ownership of fixes.</w:t>
      </w:r>
    </w:p>
    <w:p>
      <w:pPr>
        <w:pStyle w:val="ListBullet"/>
      </w:pPr>
      <w:r>
        <w:t>Produce 4–6 screenshots and a one page user guide from the final working demo. Attend one short review.</w:t>
      </w:r>
    </w:p>
    <w:p>
      <w:r>
        <w:t>Person 3 does not own training, backend code, SHAP, integration, or deployment. Person 1 supplies data sources and validates test labels. Person 2 supplies the test template and resolves UI/API defects. If Person 3 is delayed, either primary developer can run the fixture without blocking the build.</w:t>
      </w:r>
    </w:p>
    <w:p>
      <w:r>
        <w:br w:type="page"/>
      </w:r>
    </w:p>
    <w:p>
      <w:pPr>
        <w:pStyle w:val="Heading1"/>
      </w:pPr>
      <w:r>
        <w:t>Implementation steps for data and detection</w:t>
      </w:r>
    </w:p>
    <w:p>
      <w:pPr>
        <w:pStyle w:val="Heading2"/>
      </w:pPr>
      <w:r>
        <w:t>Step 1 Agree on the input and output contract</w:t>
      </w:r>
    </w:p>
    <w:p>
      <w:r>
        <w:t>Owners: Person 1 and Person 2. Start with URL text analysis only. Record supported schemes, length limits, label values, feature names, and the API response fields in the README. Use one shared parser for both training and inference. Person 2 can build against a clearly marked fixture response while Person 1 trains the model.</w:t>
      </w:r>
    </w:p>
    <w:p>
      <w:pPr>
        <w:pStyle w:val="Heading2"/>
      </w:pPr>
      <w:r>
        <w:t>Step 2 Prepare the dataset</w:t>
      </w:r>
    </w:p>
    <w:p>
      <w:r>
        <w:t>Owner: Person 1. Collect phishing URL records from the proposed PhishTank/OpenPhish sources and benign candidates from the proposed Tranco source. Record collection date, source, label basis, and sample counts. Treat top-site membership as a benign candidate signal rather than guaranteed ground truth. Clean invalid records and conflicting labels.</w:t>
      </w:r>
    </w:p>
    <w:p>
      <w:r>
        <w:t>Remove duplicates and group records by registrable domain before splitting, so related URLs do not appear in training and testing. Reserve a test set before tuning. Fit preprocessing on training data only. Keep synthetic variants of the same base domain in the same partition. Store URLs as data and do not visit phishing pages.</w:t>
      </w:r>
    </w:p>
    <w:p>
      <w:pPr>
        <w:pStyle w:val="Heading2"/>
      </w:pPr>
      <w:r>
        <w:t>Step 3 Normalize and extract features</w:t>
      </w:r>
    </w:p>
    <w:p>
      <w:r>
        <w:t>Owner: Person 1. Parse the scheme, host, path, and query. Lowercase the hostname and preserve both raw and normalized forms. Handle Unicode/IDNA and percent encoding consistently. Keep the original values available so normalization does not erase evidence of obfuscation.</w:t>
      </w:r>
    </w:p>
    <w:p>
      <w:r>
        <w:t>Implement URL length, hostname length, digit count, hyphen count, subdomain count, hostname entropy, IP-host flag, HTTPS scheme flag, punycode flag, percent-encoding flag, and a documented structural pattern flag. An HTTPS scheme flag does not establish certificate validity. Reject malformed inputs with a useful error.</w:t>
      </w:r>
    </w:p>
    <w:p>
      <w:pPr>
        <w:pStyle w:val="Heading2"/>
      </w:pPr>
      <w:r>
        <w:t>Step 4 Add skeleton and brand matching</w:t>
      </w:r>
    </w:p>
    <w:p>
      <w:r>
        <w:t>Owner: Person 1. Map confusable characters using a documented mapping and version. Verify that the chosen library supports the intended skeleton behavior. Start with 10–20 known brands and their legitimate domains. Compare the registrable domain and relevant domain labels against brand skeletons using normalized edit distance.</w:t>
      </w:r>
    </w:p>
    <w:p>
      <w:r>
        <w:t>Return the closest brand, distance, and confusable-character flag. Exclude exact legitimate brand domains from impersonation alerts. Test a legitimate brand domain, a Cyrillic lookalike, an unrelated short domain, a brand in the path, and a deceptive subdomain. Brand similarity is one signal and should not determine the verdict by itself.</w:t>
      </w:r>
    </w:p>
    <w:p>
      <w:pPr>
        <w:pStyle w:val="Heading2"/>
      </w:pPr>
      <w:r>
        <w:t>Step 5 Train and evaluate the classical model</w:t>
      </w:r>
    </w:p>
    <w:p>
      <w:r>
        <w:t>Owner: Person 1. Train one manageable baseline using the lexical, structural, and skeleton features, such as a scikit-learn tree ensemble or XGBoost. Compare with a simple baseline, tune on validation data, and save the final artifact and feature order. Report test precision, recall, F1, confusion matrix, and false-positive rate. Address class imbalance using training data only.</w:t>
      </w:r>
    </w:p>
    <w:p>
      <w:r>
        <w:t>Freeze one version for the demonstration. Do not insert a Char-CNN placeholder into the measured results or claim that the cascade is implemented.</w:t>
      </w:r>
    </w:p>
    <w:p>
      <w:r>
        <w:br w:type="page"/>
      </w:r>
    </w:p>
    <w:p>
      <w:pPr>
        <w:pStyle w:val="Heading1"/>
      </w:pPr>
      <w:r>
        <w:t>Implementation steps for the application</w:t>
      </w:r>
    </w:p>
    <w:p>
      <w:pPr>
        <w:pStyle w:val="Heading2"/>
      </w:pPr>
      <w:r>
        <w:t>Step 6 Build the API</w:t>
      </w:r>
    </w:p>
    <w:p>
      <w:r>
        <w:t>Owner: Person 2. Load the frozen model once when FastAPI starts. Implement POST /scan with a URL field and GET /health. Use Person 1’s feature extractor rather than rewriting it. Return structured validation errors and keep prediction responses consistent.</w:t>
      </w:r>
    </w:p>
    <w:p>
      <w:r>
        <w:t>Response fields: submitted URL, normalized host, phishing probability, risk score, risk level, matched brand, skeleton distance, observed signals, explanation items, model_used, cascade_status, and model version. At this milestone, use model_used = classical and cascade_status = not_implemented.</w:t>
      </w:r>
    </w:p>
    <w:p>
      <w:pPr>
        <w:pStyle w:val="Heading2"/>
      </w:pPr>
      <w:r>
        <w:t>Step 7 Implement the score and explanations</w:t>
      </w:r>
    </w:p>
    <w:p>
      <w:r>
        <w:t>Owner: Person 2, with Person 1 reviewing model details. Define risk_score = round(100 × phishing_probability). Treat it as a model score until probability calibration has been checked. Use the presentation’s display bands: Low 0–30, Medium 31–60, High 61–80, Critical 81–100.</w:t>
      </w:r>
    </w:p>
    <w:p>
      <w:r>
        <w:t>Generate SHAP attributions for the classical model. Confirm the phishing class, feature order, and output scale. Show up to three features that increased predicted phishing risk, with their observed values and plain language reasons. Keep observed indicators separate from model contributions. If explanation generation fails, report that clearly without inventing reasons.</w:t>
      </w:r>
    </w:p>
    <w:p>
      <w:r>
        <w:t>The presentation’s additive signal points are illustrative and should not be added to the model probability. Its sample 92/100 result must not be presented as a measured output. Domain age, TLS validity, DNS, and redirects should show as unavailable until those modules exist.</w:t>
      </w:r>
    </w:p>
    <w:p>
      <w:pPr>
        <w:pStyle w:val="Heading2"/>
      </w:pPr>
      <w:r>
        <w:t>Step 8 Build and connect the interface</w:t>
      </w:r>
    </w:p>
    <w:p>
      <w:r>
        <w:t>Owner: Person 2. Create the URL entry form, scan button, loading state, API error state, and result card. Display the score, risk band, explanation items, skeleton match, and classical model path. Clearly label the prototype and display unimplemented signals as unavailable. Keep robustness results in a separate evaluation view or linked report.</w:t>
      </w:r>
    </w:p>
    <w:p>
      <w:pPr>
        <w:pStyle w:val="Heading2"/>
      </w:pPr>
      <w:r>
        <w:t>Step 9 Run initial robustness checks</w:t>
      </w:r>
    </w:p>
    <w:p>
      <w:r>
        <w:t>Owner: Person 1. Choose three small test groups: homoglyph substitution, deceptive subdomains, and percent encoding. Record how each variant was generated and whether it preserves the intended attack behavior. Report sample count and phishing recall by family, plus false positives on benign brand-related URLs.</w:t>
      </w:r>
    </w:p>
    <w:p>
      <w:r>
        <w:t>Keep one manipulation family out of augmentation and tuning to make an initial unseen-family check. Evaluate it only after the model is frozen. Use a results table with counts, recall, and limitations rather than an arbitrary robustness score. Person 2 records local inference latency and whether SHAP materially slows a scan.</w:t>
      </w:r>
    </w:p>
    <w:p>
      <w:pPr>
        <w:pStyle w:val="Heading2"/>
      </w:pPr>
      <w:r>
        <w:t>Step 10 Integrate and prepare the demonstration</w:t>
      </w:r>
    </w:p>
    <w:p>
      <w:r>
        <w:t>Owners: Person 1 and Person 2. Run from a fresh checkout, scan the agreed fixture, fix defects, and record actual outputs. Person 3 performs the manual pass and creates screenshots. Demonstrate a benign URL, a homoglyph example, a structurally suspicious URL, and malformed input. Explain what is finished and show the remaining cascade work explicitly.</w:t>
      </w:r>
    </w:p>
    <w:p>
      <w:r>
        <w:br w:type="page"/>
      </w:r>
    </w:p>
    <w:p>
      <w:pPr>
        <w:pStyle w:val="Heading1"/>
      </w:pPr>
      <w:r>
        <w:t>Schedule and completion checks</w:t>
      </w:r>
    </w:p>
    <w:p>
      <w:r>
        <w:t>Suggested duration: two weeks, with approximately 36 hours each for Person 1 and Person 2 and a maximum of 8 hours for Person 3. These are planning estimates. Adjust the dates to the submission deadline while retaining the dependency order.</w:t>
      </w:r>
    </w:p>
    <w:tbl>
      <w:tblPr>
        <w:tblStyle w:val="LightShading-Accent1"/>
        <w:tblW w:type="auto" w:w="0"/>
        <w:tblLook w:firstColumn="1" w:firstRow="1" w:lastColumn="0" w:lastRow="0" w:noHBand="0" w:noVBand="1" w:val="04A0"/>
      </w:tblPr>
      <w:tblGrid>
        <w:gridCol w:w="2520"/>
        <w:gridCol w:w="2520"/>
        <w:gridCol w:w="2520"/>
        <w:gridCol w:w="2520"/>
      </w:tblGrid>
      <w:tr>
        <w:trPr>
          <w:cantSplit/>
          <w:tblHeader/>
        </w:trPr>
        <w:tc>
          <w:tcPr>
            <w:tcW w:type="dxa" w:w="2520"/>
          </w:tcPr>
          <w:p>
            <w:pPr>
              <w:spacing w:after="80"/>
            </w:pPr>
            <w:r>
              <w:rPr>
                <w:sz w:val="18"/>
              </w:rPr>
              <w:t>Window</w:t>
            </w:r>
          </w:p>
        </w:tc>
        <w:tc>
          <w:tcPr>
            <w:tcW w:type="dxa" w:w="2520"/>
          </w:tcPr>
          <w:p>
            <w:pPr>
              <w:spacing w:after="80"/>
            </w:pPr>
            <w:r>
              <w:rPr>
                <w:sz w:val="18"/>
              </w:rPr>
              <w:t>Person 1</w:t>
            </w:r>
          </w:p>
        </w:tc>
        <w:tc>
          <w:tcPr>
            <w:tcW w:type="dxa" w:w="2520"/>
          </w:tcPr>
          <w:p>
            <w:pPr>
              <w:spacing w:after="80"/>
            </w:pPr>
            <w:r>
              <w:rPr>
                <w:sz w:val="18"/>
              </w:rPr>
              <w:t>Person 2</w:t>
            </w:r>
          </w:p>
        </w:tc>
        <w:tc>
          <w:tcPr>
            <w:tcW w:type="dxa" w:w="2520"/>
          </w:tcPr>
          <w:p>
            <w:pPr>
              <w:spacing w:after="80"/>
            </w:pPr>
            <w:r>
              <w:rPr>
                <w:sz w:val="18"/>
              </w:rPr>
              <w:t>Person 3</w:t>
            </w:r>
          </w:p>
        </w:tc>
      </w:tr>
      <w:tr>
        <w:trPr>
          <w:cantSplit/>
        </w:trPr>
        <w:tc>
          <w:tcPr>
            <w:tcW w:type="dxa" w:w="2520"/>
          </w:tcPr>
          <w:p>
            <w:pPr>
              <w:spacing w:after="80"/>
            </w:pPr>
            <w:r>
              <w:rPr>
                <w:sz w:val="18"/>
              </w:rPr>
              <w:t>Days 1–2</w:t>
            </w:r>
          </w:p>
        </w:tc>
        <w:tc>
          <w:tcPr>
            <w:tcW w:type="dxa" w:w="2520"/>
          </w:tcPr>
          <w:p>
            <w:pPr>
              <w:spacing w:after="80"/>
            </w:pPr>
            <w:r>
              <w:rPr>
                <w:sz w:val="18"/>
              </w:rPr>
              <w:t>Contract, data manifest, split plan</w:t>
            </w:r>
          </w:p>
        </w:tc>
        <w:tc>
          <w:tcPr>
            <w:tcW w:type="dxa" w:w="2520"/>
          </w:tcPr>
          <w:p>
            <w:pPr>
              <w:spacing w:after="80"/>
            </w:pPr>
            <w:r>
              <w:rPr>
                <w:sz w:val="18"/>
              </w:rPr>
              <w:t>Contract, API skeleton, UI fixture</w:t>
            </w:r>
          </w:p>
        </w:tc>
        <w:tc>
          <w:tcPr>
            <w:tcW w:type="dxa" w:w="2520"/>
          </w:tcPr>
          <w:p>
            <w:pPr>
              <w:spacing w:after="80"/>
            </w:pPr>
            <w:r>
              <w:rPr>
                <w:sz w:val="18"/>
              </w:rPr>
              <w:t>Prepare test template and start fixture • 2h</w:t>
            </w:r>
          </w:p>
        </w:tc>
      </w:tr>
      <w:tr>
        <w:trPr>
          <w:cantSplit/>
        </w:trPr>
        <w:tc>
          <w:tcPr>
            <w:tcW w:type="dxa" w:w="2520"/>
          </w:tcPr>
          <w:p>
            <w:pPr>
              <w:spacing w:after="80"/>
            </w:pPr>
            <w:r>
              <w:rPr>
                <w:sz w:val="18"/>
              </w:rPr>
              <w:t>Days 3–5</w:t>
            </w:r>
          </w:p>
        </w:tc>
        <w:tc>
          <w:tcPr>
            <w:tcW w:type="dxa" w:w="2520"/>
          </w:tcPr>
          <w:p>
            <w:pPr>
              <w:spacing w:after="80"/>
            </w:pPr>
            <w:r>
              <w:rPr>
                <w:sz w:val="18"/>
              </w:rPr>
              <w:t>Parser, features, skeleton matching</w:t>
            </w:r>
          </w:p>
        </w:tc>
        <w:tc>
          <w:tcPr>
            <w:tcW w:type="dxa" w:w="2520"/>
          </w:tcPr>
          <w:p>
            <w:pPr>
              <w:spacing w:after="80"/>
            </w:pPr>
            <w:r>
              <w:rPr>
                <w:sz w:val="18"/>
              </w:rPr>
              <w:t>UI states, API wiring with fixtures</w:t>
            </w:r>
          </w:p>
        </w:tc>
        <w:tc>
          <w:tcPr>
            <w:tcW w:type="dxa" w:w="2520"/>
          </w:tcPr>
          <w:p>
            <w:pPr>
              <w:spacing w:after="80"/>
            </w:pPr>
            <w:r>
              <w:rPr>
                <w:sz w:val="18"/>
              </w:rPr>
              <w:t>Finish fixture for review • 1h</w:t>
            </w:r>
          </w:p>
        </w:tc>
      </w:tr>
      <w:tr>
        <w:trPr>
          <w:cantSplit/>
        </w:trPr>
        <w:tc>
          <w:tcPr>
            <w:tcW w:type="dxa" w:w="2520"/>
          </w:tcPr>
          <w:p>
            <w:pPr>
              <w:spacing w:after="80"/>
            </w:pPr>
            <w:r>
              <w:rPr>
                <w:sz w:val="18"/>
              </w:rPr>
              <w:t>Days 6–8</w:t>
            </w:r>
          </w:p>
        </w:tc>
        <w:tc>
          <w:tcPr>
            <w:tcW w:type="dxa" w:w="2520"/>
          </w:tcPr>
          <w:p>
            <w:pPr>
              <w:spacing w:after="80"/>
            </w:pPr>
            <w:r>
              <w:rPr>
                <w:sz w:val="18"/>
              </w:rPr>
              <w:t>Train, validate, export model</w:t>
            </w:r>
          </w:p>
        </w:tc>
        <w:tc>
          <w:tcPr>
            <w:tcW w:type="dxa" w:w="2520"/>
          </w:tcPr>
          <w:p>
            <w:pPr>
              <w:spacing w:after="80"/>
            </w:pPr>
            <w:r>
              <w:rPr>
                <w:sz w:val="18"/>
              </w:rPr>
              <w:t>Integrate model and SHAP</w:t>
            </w:r>
          </w:p>
        </w:tc>
        <w:tc>
          <w:tcPr>
            <w:tcW w:type="dxa" w:w="2520"/>
          </w:tcPr>
          <w:p>
            <w:pPr>
              <w:spacing w:after="80"/>
            </w:pPr>
            <w:r>
              <w:rPr>
                <w:sz w:val="18"/>
              </w:rPr>
              <w:t>No scheduled work</w:t>
            </w:r>
          </w:p>
        </w:tc>
      </w:tr>
      <w:tr>
        <w:trPr>
          <w:cantSplit/>
        </w:trPr>
        <w:tc>
          <w:tcPr>
            <w:tcW w:type="dxa" w:w="2520"/>
          </w:tcPr>
          <w:p>
            <w:pPr>
              <w:spacing w:after="80"/>
            </w:pPr>
            <w:r>
              <w:rPr>
                <w:sz w:val="18"/>
              </w:rPr>
              <w:t>Days 9–10</w:t>
            </w:r>
          </w:p>
        </w:tc>
        <w:tc>
          <w:tcPr>
            <w:tcW w:type="dxa" w:w="2520"/>
          </w:tcPr>
          <w:p>
            <w:pPr>
              <w:spacing w:after="80"/>
            </w:pPr>
            <w:r>
              <w:rPr>
                <w:sz w:val="18"/>
              </w:rPr>
              <w:t>Robustness evaluation, bug fixes</w:t>
            </w:r>
          </w:p>
        </w:tc>
        <w:tc>
          <w:tcPr>
            <w:tcW w:type="dxa" w:w="2520"/>
          </w:tcPr>
          <w:p>
            <w:pPr>
              <w:spacing w:after="80"/>
            </w:pPr>
            <w:r>
              <w:rPr>
                <w:sz w:val="18"/>
              </w:rPr>
              <w:t>Score display, integration, latency checks</w:t>
            </w:r>
          </w:p>
        </w:tc>
        <w:tc>
          <w:tcPr>
            <w:tcW w:type="dxa" w:w="2520"/>
          </w:tcPr>
          <w:p>
            <w:pPr>
              <w:spacing w:after="80"/>
            </w:pPr>
            <w:r>
              <w:rPr>
                <w:sz w:val="18"/>
              </w:rPr>
              <w:t>Manual checks and bug list • 2h</w:t>
            </w:r>
          </w:p>
        </w:tc>
      </w:tr>
      <w:tr>
        <w:trPr>
          <w:cantSplit/>
        </w:trPr>
        <w:tc>
          <w:tcPr>
            <w:tcW w:type="dxa" w:w="2520"/>
          </w:tcPr>
          <w:p>
            <w:pPr>
              <w:spacing w:after="80"/>
            </w:pPr>
            <w:r>
              <w:rPr>
                <w:sz w:val="18"/>
              </w:rPr>
              <w:t>Days 11–12</w:t>
            </w:r>
          </w:p>
        </w:tc>
        <w:tc>
          <w:tcPr>
            <w:tcW w:type="dxa" w:w="2520"/>
          </w:tcPr>
          <w:p>
            <w:pPr>
              <w:spacing w:after="80"/>
            </w:pPr>
            <w:r>
              <w:rPr>
                <w:sz w:val="18"/>
              </w:rPr>
              <w:t>Verify metrics and detection demo</w:t>
            </w:r>
          </w:p>
        </w:tc>
        <w:tc>
          <w:tcPr>
            <w:tcW w:type="dxa" w:w="2520"/>
          </w:tcPr>
          <w:p>
            <w:pPr>
              <w:spacing w:after="80"/>
            </w:pPr>
            <w:r>
              <w:rPr>
                <w:sz w:val="18"/>
              </w:rPr>
              <w:t>Fresh setup check, README, final demo</w:t>
            </w:r>
          </w:p>
        </w:tc>
        <w:tc>
          <w:tcPr>
            <w:tcW w:type="dxa" w:w="2520"/>
          </w:tcPr>
          <w:p>
            <w:pPr>
              <w:spacing w:after="80"/>
            </w:pPr>
            <w:r>
              <w:rPr>
                <w:sz w:val="18"/>
              </w:rPr>
              <w:t>Screenshots and guide • 2h; review • 1h</w:t>
            </w:r>
          </w:p>
        </w:tc>
      </w:tr>
    </w:tbl>
    <w:p>
      <w:pPr>
        <w:pStyle w:val="Heading2"/>
      </w:pPr>
      <w:r>
        <w:t>Required handoffs</w:t>
      </w:r>
    </w:p>
    <w:p>
      <w:pPr>
        <w:pStyle w:val="ListBullet"/>
      </w:pPr>
      <w:r>
        <w:t>By Day 2: both primary developers agree on the request, response, and feature schema. Person 3 receives a ready test template.</w:t>
      </w:r>
    </w:p>
    <w:p>
      <w:pPr>
        <w:pStyle w:val="ListBullet"/>
      </w:pPr>
      <w:r>
        <w:t>By Day 5: Person 1 provides a callable feature extractor and skeleton examples. Person 2 confirms the API uses the same code.</w:t>
      </w:r>
    </w:p>
    <w:p>
      <w:pPr>
        <w:pStyle w:val="ListBullet"/>
      </w:pPr>
      <w:r>
        <w:t>By Day 8: Person 1 provides the frozen model and evaluation settings. Person 2 confirms model loading and SHAP compatibility.</w:t>
      </w:r>
    </w:p>
    <w:p>
      <w:pPr>
        <w:pStyle w:val="ListBullet"/>
      </w:pPr>
      <w:r>
        <w:t>By Day 10: Person 3 hands over test results. Person 1 and Person 2 own all fixes and the final rerun.</w:t>
      </w:r>
    </w:p>
    <w:p>
      <w:pPr>
        <w:pStyle w:val="Heading2"/>
      </w:pPr>
      <w:r>
        <w:t>Evidence required to claim 60 percent</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pPr>
            <w:r>
              <w:rPr>
                <w:sz w:val="18"/>
              </w:rPr>
              <w:t>Check</w:t>
            </w:r>
          </w:p>
        </w:tc>
        <w:tc>
          <w:tcPr>
            <w:tcW w:type="dxa" w:w="5040"/>
          </w:tcPr>
          <w:p>
            <w:pPr>
              <w:spacing w:after="80"/>
            </w:pPr>
            <w:r>
              <w:rPr>
                <w:sz w:val="18"/>
              </w:rPr>
              <w:t>Evidence and accountable owner</w:t>
            </w:r>
          </w:p>
        </w:tc>
      </w:tr>
      <w:tr>
        <w:trPr>
          <w:cantSplit/>
        </w:trPr>
        <w:tc>
          <w:tcPr>
            <w:tcW w:type="dxa" w:w="5040"/>
          </w:tcPr>
          <w:p>
            <w:pPr>
              <w:spacing w:after="80"/>
            </w:pPr>
            <w:r>
              <w:rPr>
                <w:sz w:val="18"/>
              </w:rPr>
              <w:t>Data is reproducible</w:t>
            </w:r>
          </w:p>
        </w:tc>
        <w:tc>
          <w:tcPr>
            <w:tcW w:type="dxa" w:w="5040"/>
          </w:tcPr>
          <w:p>
            <w:pPr>
              <w:spacing w:after="80"/>
            </w:pPr>
            <w:r>
              <w:rPr>
                <w:sz w:val="18"/>
              </w:rPr>
              <w:t>Manifest, label rules, split counts, duplicate and domain-overlap checks • Person 1</w:t>
            </w:r>
          </w:p>
        </w:tc>
      </w:tr>
      <w:tr>
        <w:trPr>
          <w:cantSplit/>
        </w:trPr>
        <w:tc>
          <w:tcPr>
            <w:tcW w:type="dxa" w:w="5040"/>
          </w:tcPr>
          <w:p>
            <w:pPr>
              <w:spacing w:after="80"/>
            </w:pPr>
            <w:r>
              <w:rPr>
                <w:sz w:val="18"/>
              </w:rPr>
              <w:t>Detection pipeline works</w:t>
            </w:r>
          </w:p>
        </w:tc>
        <w:tc>
          <w:tcPr>
            <w:tcW w:type="dxa" w:w="5040"/>
          </w:tcPr>
          <w:p>
            <w:pPr>
              <w:spacing w:after="80"/>
            </w:pPr>
            <w:r>
              <w:rPr>
                <w:sz w:val="18"/>
              </w:rPr>
              <w:t>Parser and skeleton tests, saved model, matching feature order • Person 1</w:t>
            </w:r>
          </w:p>
        </w:tc>
      </w:tr>
      <w:tr>
        <w:trPr>
          <w:cantSplit/>
        </w:trPr>
        <w:tc>
          <w:tcPr>
            <w:tcW w:type="dxa" w:w="5040"/>
          </w:tcPr>
          <w:p>
            <w:pPr>
              <w:spacing w:after="80"/>
            </w:pPr>
            <w:r>
              <w:rPr>
                <w:sz w:val="18"/>
              </w:rPr>
              <w:t>Evaluation is real</w:t>
            </w:r>
          </w:p>
        </w:tc>
        <w:tc>
          <w:tcPr>
            <w:tcW w:type="dxa" w:w="5040"/>
          </w:tcPr>
          <w:p>
            <w:pPr>
              <w:spacing w:after="80"/>
            </w:pPr>
            <w:r>
              <w:rPr>
                <w:sz w:val="18"/>
              </w:rPr>
              <w:t>Held-out metrics, confusion matrix, family sample counts and results • Person 1</w:t>
            </w:r>
          </w:p>
        </w:tc>
      </w:tr>
      <w:tr>
        <w:trPr>
          <w:cantSplit/>
        </w:trPr>
        <w:tc>
          <w:tcPr>
            <w:tcW w:type="dxa" w:w="5040"/>
          </w:tcPr>
          <w:p>
            <w:pPr>
              <w:spacing w:after="80"/>
            </w:pPr>
            <w:r>
              <w:rPr>
                <w:sz w:val="18"/>
              </w:rPr>
              <w:t>Scanner works end to end</w:t>
            </w:r>
          </w:p>
        </w:tc>
        <w:tc>
          <w:tcPr>
            <w:tcW w:type="dxa" w:w="5040"/>
          </w:tcPr>
          <w:p>
            <w:pPr>
              <w:spacing w:after="80"/>
            </w:pPr>
            <w:r>
              <w:rPr>
                <w:sz w:val="18"/>
              </w:rPr>
              <w:t>Fresh local setup and successful UI-to-API scans • Person 2</w:t>
            </w:r>
          </w:p>
        </w:tc>
      </w:tr>
      <w:tr>
        <w:trPr>
          <w:cantSplit/>
        </w:trPr>
        <w:tc>
          <w:tcPr>
            <w:tcW w:type="dxa" w:w="5040"/>
          </w:tcPr>
          <w:p>
            <w:pPr>
              <w:spacing w:after="80"/>
            </w:pPr>
            <w:r>
              <w:rPr>
                <w:sz w:val="18"/>
              </w:rPr>
              <w:t>Reasons reflect the model</w:t>
            </w:r>
          </w:p>
        </w:tc>
        <w:tc>
          <w:tcPr>
            <w:tcW w:type="dxa" w:w="5040"/>
          </w:tcPr>
          <w:p>
            <w:pPr>
              <w:spacing w:after="80"/>
            </w:pPr>
            <w:r>
              <w:rPr>
                <w:sz w:val="18"/>
              </w:rPr>
              <w:t>SHAP values and observed feature values checked on sample predictions • Person 2</w:t>
            </w:r>
          </w:p>
        </w:tc>
      </w:tr>
      <w:tr>
        <w:trPr>
          <w:cantSplit/>
        </w:trPr>
        <w:tc>
          <w:tcPr>
            <w:tcW w:type="dxa" w:w="5040"/>
          </w:tcPr>
          <w:p>
            <w:pPr>
              <w:spacing w:after="80"/>
            </w:pPr>
            <w:r>
              <w:rPr>
                <w:sz w:val="18"/>
              </w:rPr>
              <w:t>Demo is reviewable</w:t>
            </w:r>
          </w:p>
        </w:tc>
        <w:tc>
          <w:tcPr>
            <w:tcW w:type="dxa" w:w="5040"/>
          </w:tcPr>
          <w:p>
            <w:pPr>
              <w:spacing w:after="80"/>
            </w:pPr>
            <w:r>
              <w:rPr>
                <w:sz w:val="18"/>
              </w:rPr>
              <w:t>Fixture results, screenshots, guide, and resolved blocking defects • Persons 1 and 2; Person 3 supplies review material</w:t>
            </w:r>
          </w:p>
        </w:tc>
      </w:tr>
    </w:tbl>
    <w:p>
      <w:r>
        <w:t>A failed API call, missing model artifact, fabricated metric, or fixture-only prediction means the milestone is incomplete. Do not claim a target accuracy until the held-out evaluation supports it.</w:t>
      </w:r>
    </w:p>
    <w:p>
      <w:r>
        <w:br w:type="page"/>
      </w:r>
    </w:p>
    <w:p>
      <w:pPr>
        <w:pStyle w:val="Heading1"/>
      </w:pPr>
      <w:r>
        <w:t>Remaining work and team workflow</w:t>
      </w:r>
    </w:p>
    <w:p>
      <w:pPr>
        <w:pStyle w:val="Heading2"/>
      </w:pPr>
      <w:r>
        <w:t>The remaining 40 percent</w:t>
      </w:r>
    </w:p>
    <w:p>
      <w:r>
        <w:t>Char-CNN and cascade, 20%: Person 1 develops the character vocabulary, tokenizer, and model. Person 2 integrates routing and reports the model path. Start with the proposed 0.4–0.6 escalation range, then select thresholds on validation data. Evaluate the complete cascade against the classical path for recall, false positives, latency, and escalation rate.</w:t>
      </w:r>
    </w:p>
    <w:p>
      <w:r>
        <w:t>Live domain signals and expanded robustness, 10%: the primary developers add domain-age/DNS/TLS lookups with timeouts, caching, and missing-value handling. Evaluate broader manipulation families and reserve unseen families properly. Add redirect analysis only with constrained network handling suitable for untrusted URLs.</w:t>
      </w:r>
    </w:p>
    <w:p>
      <w:r>
        <w:t>Deployment and final validation, 10%: Person 2 leads frontend/backend hosting and configuration. Person 1 reruns final detection and robustness evaluation. Verify the deployed application, document limitations, and measure performance in the actual environment. Person 3 remains limited to a short review and documentation update if their availability permits.</w:t>
      </w:r>
    </w:p>
    <w:p>
      <w:pPr>
        <w:pStyle w:val="Heading2"/>
      </w:pPr>
      <w:r>
        <w:t>Repository and collaboration routine</w:t>
      </w:r>
    </w:p>
    <w:p>
      <w:pPr>
        <w:pStyle w:val="ListBullet"/>
      </w:pPr>
      <w:r>
        <w:t>Use a shared private repository. Each person clones it and adds the folder to Codex on their own computer. Keep task context and setup instructions in README and AGENTS.md.</w:t>
      </w:r>
    </w:p>
    <w:p>
      <w:pPr>
        <w:pStyle w:val="ListBullet"/>
      </w:pPr>
      <w:r>
        <w:t>Suggested ownership: Person 1 owns ml/, data preparation scripts, and shared URL analysis code. Person 2 owns backend/, frontend/, and application integration. Person 3 owns docs/ and test fixtures. Agree before editing another person’s module.</w:t>
      </w:r>
    </w:p>
    <w:p>
      <w:pPr>
        <w:pStyle w:val="ListBullet"/>
      </w:pPr>
      <w:r>
        <w:t>Keep raw datasets, secrets, and generated artifacts out of source control as appropriate. Record where model artifacts and data are obtained, with versions or checksums.</w:t>
      </w:r>
    </w:p>
    <w:p>
      <w:pPr>
        <w:pStyle w:val="ListBullet"/>
      </w:pPr>
      <w:r>
        <w:t>Use short branches and review changes through pull requests. Merge the shared schema and parser early. Both primary developers review interface changes before integration.</w:t>
      </w:r>
    </w:p>
    <w:p>
      <w:pPr>
        <w:pStyle w:val="ListBullet"/>
      </w:pPr>
      <w:r>
        <w:t>Hold two brief integration check-ins each week. Give Person 3 consolidated review tasks rather than daily development dependencies.</w:t>
      </w:r>
    </w:p>
    <w:p>
      <w:pPr>
        <w:pStyle w:val="Heading2"/>
      </w:pPr>
      <w:r>
        <w:t>First work session</w:t>
      </w:r>
    </w:p>
    <w:p>
      <w:r>
        <w:t>Assign the role names, confirm the deadline, create the repository structure, and agree on the API contract. Person 1 starts the data manifest and parser. Person 2 starts the scanner form and FastAPI shell. Person 3 receives the fixture template with a clear eight-hour limit. This allows the two primary developers to progress in parallel.</w:t>
      </w:r>
    </w:p>
    <w:p>
      <w:pPr>
        <w:pStyle w:val="Heading2"/>
      </w:pPr>
      <w:r>
        <w:t>Presentation alignment</w:t>
      </w:r>
    </w:p>
    <w:p>
      <w:r>
        <w:t>Source: PhishX_Presentation.pptx. The milestone follows the solution and workflow on slides 3–5, explanation and scoring concepts on slides 6–7, proposed technology stack on slide 8, and scanner/report interface on slide 9. The 60% weights, schedule, and workload allocation define the implementation plan for those proposed features.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PhishX 60 Percent Implementation Plan</dc:title>
  <dc:subject/>
  <dc:creator>PhishX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