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57.png" ContentType="image/png"/>
  <Override PartName="/word/media/rId52.png" ContentType="image/png"/>
  <Override PartName="/word/media/rId42.png" ContentType="image/png"/>
  <Override PartName="/word/media/rId38.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Perceptions</w:t>
      </w:r>
      <w:r>
        <w:t xml:space="preserve"> </w:t>
      </w:r>
      <w:r>
        <w:t xml:space="preserve">of</w:t>
      </w:r>
      <w:r>
        <w:t xml:space="preserve"> </w:t>
      </w:r>
      <w:r>
        <w:t xml:space="preserve">Inequality</w:t>
      </w:r>
      <w:r>
        <w:t xml:space="preserve"> </w:t>
      </w:r>
      <w:r>
        <w:t xml:space="preserve">and</w:t>
      </w:r>
      <w:r>
        <w:t xml:space="preserve"> </w:t>
      </w:r>
      <w:r>
        <w:t xml:space="preserve">Meritocracy:</w:t>
      </w:r>
      <w:r>
        <w:t xml:space="preserve"> </w:t>
      </w:r>
      <w:r>
        <w:t xml:space="preserve">Their</w:t>
      </w:r>
      <w:r>
        <w:t xml:space="preserve"> </w:t>
      </w:r>
      <w:r>
        <w:t xml:space="preserve">Interplay</w:t>
      </w:r>
      <w:r>
        <w:t xml:space="preserve"> </w:t>
      </w:r>
      <w:r>
        <w:t xml:space="preserve">in</w:t>
      </w:r>
      <w:r>
        <w:t xml:space="preserve"> </w:t>
      </w:r>
      <w:r>
        <w:t xml:space="preserve">Shaping</w:t>
      </w:r>
      <w:r>
        <w:t xml:space="preserve"> </w:t>
      </w:r>
      <w:r>
        <w:t xml:space="preserve">Preferences</w:t>
      </w:r>
      <w:r>
        <w:t xml:space="preserve"> </w:t>
      </w:r>
      <w:r>
        <w:t xml:space="preserve">for</w:t>
      </w:r>
      <w:r>
        <w:t xml:space="preserve"> </w:t>
      </w:r>
      <w:r>
        <w:t xml:space="preserve">Market</w:t>
      </w:r>
      <w:r>
        <w:t xml:space="preserve"> </w:t>
      </w:r>
      <w:r>
        <w:t xml:space="preserve">Justice</w:t>
      </w:r>
      <w:r>
        <w:t xml:space="preserve"> </w:t>
      </w:r>
      <w:r>
        <w:t xml:space="preserve">in</w:t>
      </w:r>
      <w:r>
        <w:t xml:space="preserve"> </w:t>
      </w:r>
      <w:r>
        <w:t xml:space="preserve">Chile</w:t>
      </w:r>
      <w:r>
        <w:t xml:space="preserve"> </w:t>
      </w:r>
      <w:r>
        <w:t xml:space="preserve">(2016-2023)</w:t>
      </w:r>
    </w:p>
    <w:p>
      <w:pPr>
        <w:pStyle w:val="Author"/>
      </w:pPr>
      <w:r>
        <w:t xml:space="preserve">Equipo</w:t>
      </w:r>
      <w:r>
        <w:t xml:space="preserve"> </w:t>
      </w:r>
      <w:r>
        <w:t xml:space="preserve">EDUMER</w:t>
      </w:r>
    </w:p>
    <w:p>
      <w:pPr>
        <w:pStyle w:val="AbstractTitle"/>
      </w:pPr>
      <w:r>
        <w:t xml:space="preserve">Abstract</w:t>
      </w:r>
    </w:p>
    <w:p>
      <w:pPr>
        <w:pStyle w:val="Abstract"/>
      </w:pPr>
      <w:r>
        <w:t xml:space="preserve">This</w:t>
      </w:r>
      <w:r>
        <w:t xml:space="preserve"> </w:t>
      </w:r>
      <w:r>
        <w:t xml:space="preserve">study</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perceptions</w:t>
      </w:r>
      <w:r>
        <w:t xml:space="preserve"> </w:t>
      </w:r>
      <w:r>
        <w:t xml:space="preserve">of</w:t>
      </w:r>
      <w:r>
        <w:t xml:space="preserve"> </w:t>
      </w:r>
      <w:r>
        <w:t xml:space="preserve">economic</w:t>
      </w:r>
      <w:r>
        <w:t xml:space="preserve"> </w:t>
      </w:r>
      <w:r>
        <w:t xml:space="preserve">inequality,</w:t>
      </w:r>
      <w:r>
        <w:t xml:space="preserve"> </w:t>
      </w:r>
      <w:r>
        <w:t xml:space="preserve">meritocratic</w:t>
      </w:r>
      <w:r>
        <w:t xml:space="preserve"> </w:t>
      </w:r>
      <w:r>
        <w:t xml:space="preserve">beliefs,</w:t>
      </w:r>
      <w:r>
        <w:t xml:space="preserve"> </w:t>
      </w:r>
      <w:r>
        <w:t xml:space="preserve">and</w:t>
      </w:r>
      <w:r>
        <w:t xml:space="preserve"> </w:t>
      </w:r>
      <w:r>
        <w:t xml:space="preserve">preferences</w:t>
      </w:r>
      <w:r>
        <w:t xml:space="preserve"> </w:t>
      </w:r>
      <w:r>
        <w:t xml:space="preserve">for</w:t>
      </w:r>
      <w:r>
        <w:t xml:space="preserve"> </w:t>
      </w:r>
      <w:r>
        <w:t xml:space="preserve">market</w:t>
      </w:r>
      <w:r>
        <w:t xml:space="preserve"> </w:t>
      </w:r>
      <w:r>
        <w:t xml:space="preserve">justice</w:t>
      </w:r>
      <w:r>
        <w:t xml:space="preserve"> </w:t>
      </w:r>
      <w:r>
        <w:t xml:space="preserve">in</w:t>
      </w:r>
      <w:r>
        <w:t xml:space="preserve"> </w:t>
      </w:r>
      <w:r>
        <w:t xml:space="preserve">Chile</w:t>
      </w:r>
      <w:r>
        <w:t xml:space="preserve"> </w:t>
      </w:r>
      <w:r>
        <w:t xml:space="preserve">between</w:t>
      </w:r>
      <w:r>
        <w:t xml:space="preserve"> </w:t>
      </w:r>
      <w:r>
        <w:t xml:space="preserve">2016</w:t>
      </w:r>
      <w:r>
        <w:t xml:space="preserve"> </w:t>
      </w:r>
      <w:r>
        <w:t xml:space="preserve">and</w:t>
      </w:r>
      <w:r>
        <w:t xml:space="preserve"> </w:t>
      </w:r>
      <w:r>
        <w:t xml:space="preserve">2023.</w:t>
      </w:r>
      <w:r>
        <w:t xml:space="preserve"> </w:t>
      </w:r>
      <w:r>
        <w:t xml:space="preserve">Using</w:t>
      </w:r>
      <w:r>
        <w:t xml:space="preserve"> </w:t>
      </w:r>
      <w:r>
        <w:t xml:space="preserve">six</w:t>
      </w:r>
      <w:r>
        <w:t xml:space="preserve"> </w:t>
      </w:r>
      <w:r>
        <w:t xml:space="preserve">waves</w:t>
      </w:r>
      <w:r>
        <w:t xml:space="preserve"> </w:t>
      </w:r>
      <w:r>
        <w:t xml:space="preserve">of</w:t>
      </w:r>
      <w:r>
        <w:t xml:space="preserve"> </w:t>
      </w:r>
      <w:r>
        <w:t xml:space="preserve">panel</w:t>
      </w:r>
      <w:r>
        <w:t xml:space="preserve"> </w:t>
      </w:r>
      <w:r>
        <w:t xml:space="preserve">data</w:t>
      </w:r>
      <w:r>
        <w:t xml:space="preserve"> </w:t>
      </w:r>
      <w:r>
        <w:t xml:space="preserve">from</w:t>
      </w:r>
      <w:r>
        <w:t xml:space="preserve"> </w:t>
      </w:r>
      <w:r>
        <w:t xml:space="preserve">the</w:t>
      </w:r>
      <w:r>
        <w:t xml:space="preserve"> </w:t>
      </w:r>
      <w:r>
        <w:t xml:space="preserve">Chilean</w:t>
      </w:r>
      <w:r>
        <w:t xml:space="preserve"> </w:t>
      </w:r>
      <w:r>
        <w:t xml:space="preserve">Longitudinal</w:t>
      </w:r>
      <w:r>
        <w:t xml:space="preserve"> </w:t>
      </w:r>
      <w:r>
        <w:t xml:space="preserve">Social</w:t>
      </w:r>
      <w:r>
        <w:t xml:space="preserve"> </w:t>
      </w:r>
      <w:r>
        <w:t xml:space="preserve">Survey</w:t>
      </w:r>
      <w:r>
        <w:t xml:space="preserve"> </w:t>
      </w:r>
      <w:r>
        <w:t xml:space="preserve">(ELSOC;</w:t>
      </w:r>
      <w:r>
        <w:t xml:space="preserve"> </w:t>
      </w:r>
      <w:r>
        <w:t xml:space="preserve">N</w:t>
      </w:r>
      <w:r>
        <w:t xml:space="preserve"> </w:t>
      </w:r>
      <w:r>
        <w:t xml:space="preserve">=</w:t>
      </w:r>
      <w:r>
        <w:t xml:space="preserve"> </w:t>
      </w:r>
      <w:r>
        <w:t xml:space="preserve">1,519),</w:t>
      </w:r>
      <w:r>
        <w:t xml:space="preserve"> </w:t>
      </w:r>
      <w:r>
        <w:t xml:space="preserve">the</w:t>
      </w:r>
      <w:r>
        <w:t xml:space="preserve"> </w:t>
      </w:r>
      <w:r>
        <w:t xml:space="preserve">analysis</w:t>
      </w:r>
      <w:r>
        <w:t xml:space="preserve"> </w:t>
      </w:r>
      <w:r>
        <w:t xml:space="preserve">examines</w:t>
      </w:r>
      <w:r>
        <w:t xml:space="preserve"> </w:t>
      </w:r>
      <w:r>
        <w:t xml:space="preserve">how</w:t>
      </w:r>
      <w:r>
        <w:t xml:space="preserve"> </w:t>
      </w:r>
      <w:r>
        <w:t xml:space="preserve">subjective</w:t>
      </w:r>
      <w:r>
        <w:t xml:space="preserve"> </w:t>
      </w:r>
      <w:r>
        <w:t xml:space="preserve">assessments</w:t>
      </w:r>
      <w:r>
        <w:t xml:space="preserve"> </w:t>
      </w:r>
      <w:r>
        <w:t xml:space="preserve">of</w:t>
      </w:r>
      <w:r>
        <w:t xml:space="preserve"> </w:t>
      </w:r>
      <w:r>
        <w:t xml:space="preserve">inequality</w:t>
      </w:r>
      <w:r>
        <w:t xml:space="preserve"> </w:t>
      </w:r>
      <w:r>
        <w:t xml:space="preserve">shape</w:t>
      </w:r>
      <w:r>
        <w:t xml:space="preserve"> </w:t>
      </w:r>
      <w:r>
        <w:t xml:space="preserve">attitudes</w:t>
      </w:r>
      <w:r>
        <w:t xml:space="preserve"> </w:t>
      </w:r>
      <w:r>
        <w:t xml:space="preserve">toward</w:t>
      </w:r>
      <w:r>
        <w:t xml:space="preserve"> </w:t>
      </w:r>
      <w:r>
        <w:t xml:space="preserve">the</w:t>
      </w:r>
      <w:r>
        <w:t xml:space="preserve"> </w:t>
      </w:r>
      <w:r>
        <w:t xml:space="preserve">role</w:t>
      </w:r>
      <w:r>
        <w:t xml:space="preserve"> </w:t>
      </w:r>
      <w:r>
        <w:t xml:space="preserve">of</w:t>
      </w:r>
      <w:r>
        <w:t xml:space="preserve"> </w:t>
      </w:r>
      <w:r>
        <w:t xml:space="preserve">merit</w:t>
      </w:r>
      <w:r>
        <w:t xml:space="preserve"> </w:t>
      </w:r>
      <w:r>
        <w:t xml:space="preserve">in</w:t>
      </w:r>
      <w:r>
        <w:t xml:space="preserve"> </w:t>
      </w:r>
      <w:r>
        <w:t xml:space="preserve">access</w:t>
      </w:r>
      <w:r>
        <w:t xml:space="preserve"> </w:t>
      </w:r>
      <w:r>
        <w:t xml:space="preserve">to</w:t>
      </w:r>
      <w:r>
        <w:t xml:space="preserve"> </w:t>
      </w:r>
      <w:r>
        <w:t xml:space="preserve">key</w:t>
      </w:r>
      <w:r>
        <w:t xml:space="preserve"> </w:t>
      </w:r>
      <w:r>
        <w:t xml:space="preserve">social</w:t>
      </w:r>
      <w:r>
        <w:t xml:space="preserve"> </w:t>
      </w:r>
      <w:r>
        <w:t xml:space="preserve">services</w:t>
      </w:r>
      <w:r>
        <w:t xml:space="preserve"> </w:t>
      </w:r>
      <w:r>
        <w:t xml:space="preserve">such</w:t>
      </w:r>
      <w:r>
        <w:t xml:space="preserve"> </w:t>
      </w:r>
      <w:r>
        <w:t xml:space="preserve">as</w:t>
      </w:r>
      <w:r>
        <w:t xml:space="preserve"> </w:t>
      </w:r>
      <w:r>
        <w:t xml:space="preserve">healthcare,</w:t>
      </w:r>
      <w:r>
        <w:t xml:space="preserve"> </w:t>
      </w:r>
      <w:r>
        <w:t xml:space="preserve">education,</w:t>
      </w:r>
      <w:r>
        <w:t xml:space="preserve"> </w:t>
      </w:r>
      <w:r>
        <w:t xml:space="preserve">and</w:t>
      </w:r>
      <w:r>
        <w:t xml:space="preserve"> </w:t>
      </w:r>
      <w:r>
        <w:t xml:space="preserve">pensions.</w:t>
      </w:r>
      <w:r>
        <w:t xml:space="preserve"> </w:t>
      </w:r>
      <w:r>
        <w:t xml:space="preserve">Results</w:t>
      </w:r>
      <w:r>
        <w:t xml:space="preserve"> </w:t>
      </w:r>
      <w:r>
        <w:t xml:space="preserve">indicate</w:t>
      </w:r>
      <w:r>
        <w:t xml:space="preserve"> </w:t>
      </w:r>
      <w:r>
        <w:t xml:space="preserve">that</w:t>
      </w:r>
      <w:r>
        <w:t xml:space="preserve"> </w:t>
      </w:r>
      <w:r>
        <w:t xml:space="preserve">rising</w:t>
      </w:r>
      <w:r>
        <w:t xml:space="preserve"> </w:t>
      </w:r>
      <w:r>
        <w:t xml:space="preserve">perceptions</w:t>
      </w:r>
      <w:r>
        <w:t xml:space="preserve"> </w:t>
      </w:r>
      <w:r>
        <w:t xml:space="preserve">of</w:t>
      </w:r>
      <w:r>
        <w:t xml:space="preserve"> </w:t>
      </w:r>
      <w:r>
        <w:t xml:space="preserve">inequality</w:t>
      </w:r>
      <w:r>
        <w:t xml:space="preserve"> </w:t>
      </w:r>
      <w:r>
        <w:t xml:space="preserve">are</w:t>
      </w:r>
      <w:r>
        <w:t xml:space="preserve"> </w:t>
      </w:r>
      <w:r>
        <w:t xml:space="preserve">associated</w:t>
      </w:r>
      <w:r>
        <w:t xml:space="preserve"> </w:t>
      </w:r>
      <w:r>
        <w:t xml:space="preserve">with</w:t>
      </w:r>
      <w:r>
        <w:t xml:space="preserve"> </w:t>
      </w:r>
      <w:r>
        <w:t xml:space="preserve">greater</w:t>
      </w:r>
      <w:r>
        <w:t xml:space="preserve"> </w:t>
      </w:r>
      <w:r>
        <w:t xml:space="preserve">support</w:t>
      </w:r>
      <w:r>
        <w:t xml:space="preserve"> </w:t>
      </w:r>
      <w:r>
        <w:t xml:space="preserve">for</w:t>
      </w:r>
      <w:r>
        <w:t xml:space="preserve"> </w:t>
      </w:r>
      <w:r>
        <w:t xml:space="preserve">redistributive</w:t>
      </w:r>
      <w:r>
        <w:t xml:space="preserve"> </w:t>
      </w:r>
      <w:r>
        <w:t xml:space="preserve">policies;</w:t>
      </w:r>
      <w:r>
        <w:t xml:space="preserve"> </w:t>
      </w:r>
      <w:r>
        <w:t xml:space="preserve">however,</w:t>
      </w:r>
      <w:r>
        <w:t xml:space="preserve"> </w:t>
      </w:r>
      <w:r>
        <w:t xml:space="preserve">individuals</w:t>
      </w:r>
      <w:r>
        <w:t xml:space="preserve"> </w:t>
      </w:r>
      <w:r>
        <w:t xml:space="preserve">with</w:t>
      </w:r>
      <w:r>
        <w:t xml:space="preserve"> </w:t>
      </w:r>
      <w:r>
        <w:t xml:space="preserve">strong</w:t>
      </w:r>
      <w:r>
        <w:t xml:space="preserve"> </w:t>
      </w:r>
      <w:r>
        <w:t xml:space="preserve">meritocratic</w:t>
      </w:r>
      <w:r>
        <w:t xml:space="preserve"> </w:t>
      </w:r>
      <w:r>
        <w:t xml:space="preserve">convictions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legitimize</w:t>
      </w:r>
      <w:r>
        <w:t xml:space="preserve"> </w:t>
      </w:r>
      <w:r>
        <w:t xml:space="preserve">existing</w:t>
      </w:r>
      <w:r>
        <w:t xml:space="preserve"> </w:t>
      </w:r>
      <w:r>
        <w:t xml:space="preserve">disparities.</w:t>
      </w:r>
      <w:r>
        <w:t xml:space="preserve"> </w:t>
      </w:r>
      <w:r>
        <w:t xml:space="preserve">The</w:t>
      </w:r>
      <w:r>
        <w:t xml:space="preserve"> </w:t>
      </w:r>
      <w:r>
        <w:t xml:space="preserve">study</w:t>
      </w:r>
      <w:r>
        <w:t xml:space="preserve"> </w:t>
      </w:r>
      <w:r>
        <w:t xml:space="preserve">also</w:t>
      </w:r>
      <w:r>
        <w:t xml:space="preserve"> </w:t>
      </w:r>
      <w:r>
        <w:t xml:space="preserve">considers</w:t>
      </w:r>
      <w:r>
        <w:t xml:space="preserve"> </w:t>
      </w:r>
      <w:r>
        <w:t xml:space="preserve">the</w:t>
      </w:r>
      <w:r>
        <w:t xml:space="preserve"> </w:t>
      </w:r>
      <w:r>
        <w:t xml:space="preserve">influence</w:t>
      </w:r>
      <w:r>
        <w:t xml:space="preserve"> </w:t>
      </w:r>
      <w:r>
        <w:t xml:space="preserve">of</w:t>
      </w:r>
      <w:r>
        <w:t xml:space="preserve"> </w:t>
      </w:r>
      <w:r>
        <w:t xml:space="preserve">major</w:t>
      </w:r>
      <w:r>
        <w:t xml:space="preserve"> </w:t>
      </w:r>
      <w:r>
        <w:t xml:space="preserve">social</w:t>
      </w:r>
      <w:r>
        <w:t xml:space="preserve"> </w:t>
      </w:r>
      <w:r>
        <w:t xml:space="preserve">movements</w:t>
      </w:r>
      <w:r>
        <w:t xml:space="preserve"> </w:t>
      </w:r>
      <w:r>
        <w:t xml:space="preserve">during</w:t>
      </w:r>
      <w:r>
        <w:t xml:space="preserve"> </w:t>
      </w:r>
      <w:r>
        <w:t xml:space="preserve">this</w:t>
      </w:r>
      <w:r>
        <w:t xml:space="preserve"> </w:t>
      </w:r>
      <w:r>
        <w:t xml:space="preserve">period,</w:t>
      </w:r>
      <w:r>
        <w:t xml:space="preserve"> </w:t>
      </w:r>
      <w:r>
        <w:t xml:space="preserve">which</w:t>
      </w:r>
      <w:r>
        <w:t xml:space="preserve"> </w:t>
      </w:r>
      <w:r>
        <w:t xml:space="preserve">appear</w:t>
      </w:r>
      <w:r>
        <w:t xml:space="preserve"> </w:t>
      </w:r>
      <w:r>
        <w:t xml:space="preserve">to</w:t>
      </w:r>
      <w:r>
        <w:t xml:space="preserve"> </w:t>
      </w:r>
      <w:r>
        <w:t xml:space="preserve">have</w:t>
      </w:r>
      <w:r>
        <w:t xml:space="preserve"> </w:t>
      </w:r>
      <w:r>
        <w:t xml:space="preserve">reshaped</w:t>
      </w:r>
      <w:r>
        <w:t xml:space="preserve"> </w:t>
      </w:r>
      <w:r>
        <w:t xml:space="preserve">public</w:t>
      </w:r>
      <w:r>
        <w:t xml:space="preserve"> </w:t>
      </w:r>
      <w:r>
        <w:t xml:space="preserve">discourse</w:t>
      </w:r>
      <w:r>
        <w:t xml:space="preserve"> </w:t>
      </w:r>
      <w:r>
        <w:t xml:space="preserve">and</w:t>
      </w:r>
      <w:r>
        <w:t xml:space="preserve"> </w:t>
      </w:r>
      <w:r>
        <w:t xml:space="preserve">perceptions</w:t>
      </w:r>
      <w:r>
        <w:t xml:space="preserve"> </w:t>
      </w:r>
      <w:r>
        <w:t xml:space="preserve">of</w:t>
      </w:r>
      <w:r>
        <w:t xml:space="preserve"> </w:t>
      </w:r>
      <w:r>
        <w:t xml:space="preserve">fairness.</w:t>
      </w:r>
      <w:r>
        <w:t xml:space="preserve"> </w:t>
      </w:r>
      <w:r>
        <w:t xml:space="preserve">These</w:t>
      </w:r>
      <w:r>
        <w:t xml:space="preserve"> </w:t>
      </w:r>
      <w:r>
        <w:t xml:space="preserve">findings</w:t>
      </w:r>
      <w:r>
        <w:t xml:space="preserve"> </w:t>
      </w:r>
      <w:r>
        <w:t xml:space="preserve">contribute</w:t>
      </w:r>
      <w:r>
        <w:t xml:space="preserve"> </w:t>
      </w:r>
      <w:r>
        <w:t xml:space="preserve">to</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how</w:t>
      </w:r>
      <w:r>
        <w:t xml:space="preserve"> </w:t>
      </w:r>
      <w:r>
        <w:t xml:space="preserve">beliefs</w:t>
      </w:r>
      <w:r>
        <w:t xml:space="preserve"> </w:t>
      </w:r>
      <w:r>
        <w:t xml:space="preserve">about</w:t>
      </w:r>
      <w:r>
        <w:t xml:space="preserve"> </w:t>
      </w:r>
      <w:r>
        <w:t xml:space="preserve">justice</w:t>
      </w:r>
      <w:r>
        <w:t xml:space="preserve"> </w:t>
      </w:r>
      <w:r>
        <w:t xml:space="preserve">and</w:t>
      </w:r>
      <w:r>
        <w:t xml:space="preserve"> </w:t>
      </w:r>
      <w:r>
        <w:t xml:space="preserve">equity</w:t>
      </w:r>
      <w:r>
        <w:t xml:space="preserve"> </w:t>
      </w:r>
      <w:r>
        <w:t xml:space="preserve">evolve</w:t>
      </w:r>
      <w:r>
        <w:t xml:space="preserve"> </w:t>
      </w:r>
      <w:r>
        <w:t xml:space="preserve">in</w:t>
      </w:r>
      <w:r>
        <w:t xml:space="preserve"> </w:t>
      </w:r>
      <w:r>
        <w:t xml:space="preserve">contexts</w:t>
      </w:r>
      <w:r>
        <w:t xml:space="preserve"> </w:t>
      </w:r>
      <w:r>
        <w:t xml:space="preserve">marked</w:t>
      </w:r>
      <w:r>
        <w:t xml:space="preserve"> </w:t>
      </w:r>
      <w:r>
        <w:t xml:space="preserve">by</w:t>
      </w:r>
      <w:r>
        <w:t xml:space="preserve"> </w:t>
      </w:r>
      <w:r>
        <w:t xml:space="preserve">persistent</w:t>
      </w:r>
      <w:r>
        <w:t xml:space="preserve"> </w:t>
      </w:r>
      <w:r>
        <w:t xml:space="preserve">inequality</w:t>
      </w:r>
      <w:r>
        <w:t xml:space="preserve"> </w:t>
      </w:r>
      <w:r>
        <w:t xml:space="preserve">and</w:t>
      </w:r>
      <w:r>
        <w:t xml:space="preserve"> </w:t>
      </w:r>
      <w:r>
        <w:t xml:space="preserve">entrenched</w:t>
      </w:r>
      <w:r>
        <w:t xml:space="preserve"> </w:t>
      </w:r>
      <w:r>
        <w:t xml:space="preserve">market-oriented</w:t>
      </w:r>
      <w:r>
        <w:t xml:space="preserve"> </w:t>
      </w:r>
      <w:r>
        <w:t xml:space="preserve">frameworks.</w:t>
      </w:r>
      <w:r>
        <w:t xml:space="preserve"> </w:t>
      </w:r>
      <w:r>
        <w:t xml:space="preserve"> </w:t>
      </w:r>
      <w:r>
        <w:rPr>
          <w:b/>
          <w:bCs/>
        </w:rPr>
        <w:t xml:space="preserve">Keywords</w:t>
      </w:r>
      <w:r>
        <w:t xml:space="preserve">:</w:t>
      </w:r>
      <w:r>
        <w:t xml:space="preserve"> </w:t>
      </w:r>
      <w:r>
        <w:t xml:space="preserve">Economic</w:t>
      </w:r>
      <w:r>
        <w:t xml:space="preserve"> </w:t>
      </w:r>
      <w:r>
        <w:t xml:space="preserve">inequality,</w:t>
      </w:r>
      <w:r>
        <w:t xml:space="preserve"> </w:t>
      </w:r>
      <w:r>
        <w:t xml:space="preserve">meritocracy,</w:t>
      </w:r>
      <w:r>
        <w:t xml:space="preserve"> </w:t>
      </w:r>
      <w:r>
        <w:t xml:space="preserve">market</w:t>
      </w:r>
      <w:r>
        <w:t xml:space="preserve"> </w:t>
      </w:r>
      <w:r>
        <w:t xml:space="preserve">justice,</w:t>
      </w:r>
      <w:r>
        <w:t xml:space="preserve"> </w:t>
      </w:r>
      <w:r>
        <w:t xml:space="preserve">Chile,</w:t>
      </w:r>
      <w:r>
        <w:t xml:space="preserve"> </w:t>
      </w:r>
      <w:r>
        <w:t xml:space="preserve">public</w:t>
      </w:r>
      <w:r>
        <w:t xml:space="preserve"> </w:t>
      </w:r>
      <w:r>
        <w:t xml:space="preserve">preferences,</w:t>
      </w:r>
      <w:r>
        <w:t xml:space="preserve"> </w:t>
      </w:r>
      <w:r>
        <w:t xml:space="preserve">inequality</w:t>
      </w:r>
      <w:r>
        <w:t xml:space="preserve"> </w:t>
      </w:r>
      <w:r>
        <w:t xml:space="preserve">perception</w:t>
      </w:r>
    </w:p>
    <w:bookmarkStart w:id="20" w:name="introduction"/>
    <w:p>
      <w:pPr>
        <w:pStyle w:val="Heading1"/>
      </w:pPr>
      <w:r>
        <w:t xml:space="preserve">1. Introduction</w:t>
      </w:r>
    </w:p>
    <w:p>
      <w:pPr>
        <w:pStyle w:val="FirstParagraph"/>
      </w:pPr>
      <w:r>
        <w:t xml:space="preserve">Since 1980, economic inequality and wealth concentration have dramatically increased worldwide, becoming one of the main challenges for the social sciences. Globally, in 2021, less than 50% of the world population owned only 2% of the wealth, while the richest 10% concentrated 76%, and the wealthiest 1% captured nearly 38% of total assets</w:t>
      </w:r>
      <w:r>
        <w:t xml:space="preserve"> </w:t>
      </w:r>
      <w:r>
        <w:t xml:space="preserve">(</w:t>
      </w:r>
      <w:hyperlink w:anchor="ref-chancel_world_2022">
        <w:r>
          <w:rPr>
            <w:rStyle w:val="Hyperlink"/>
          </w:rPr>
          <w:t xml:space="preserve">Chancel et al., 2022</w:t>
        </w:r>
      </w:hyperlink>
      <w:r>
        <w:t xml:space="preserve">)</w:t>
      </w:r>
      <w:r>
        <w:t xml:space="preserve">. This context of economic disparity has sparked renewed interest in studying not only the objective aspects of inequality, such as income and access to resources, but also its subjective dimensions, including perceptions, beliefs, and associated attitudes</w:t>
      </w:r>
      <w:r>
        <w:t xml:space="preserve"> </w:t>
      </w:r>
      <w:r>
        <w:t xml:space="preserve">(</w:t>
      </w:r>
      <w:hyperlink w:anchor="ref-janmaat_subjective_2013">
        <w:r>
          <w:rPr>
            <w:rStyle w:val="Hyperlink"/>
          </w:rPr>
          <w:t xml:space="preserve">Janmaat, 2013</w:t>
        </w:r>
      </w:hyperlink>
      <w:r>
        <w:t xml:space="preserve">)</w:t>
      </w:r>
      <w:r>
        <w:t xml:space="preserve">. This has led, among other reasons, to widespread concern in the social sciences about the political delegitimization that economic inequality can produce</w:t>
      </w:r>
      <w:r>
        <w:t xml:space="preserve"> </w:t>
      </w:r>
      <w:r>
        <w:t xml:space="preserve">(</w:t>
      </w:r>
      <w:hyperlink w:anchor="ref-castillo_perception_2022">
        <w:r>
          <w:rPr>
            <w:rStyle w:val="Hyperlink"/>
          </w:rPr>
          <w:t xml:space="preserve">Castillo et al., 2022</w:t>
        </w:r>
      </w:hyperlink>
      <w:r>
        <w:t xml:space="preserve">)</w:t>
      </w:r>
      <w:r>
        <w:t xml:space="preserve">. Understanding how people perceive inequality is crucial, as these perceptions can influence how societies comprehend and justify the distribution of goods and services.</w:t>
      </w:r>
    </w:p>
    <w:p>
      <w:pPr>
        <w:pStyle w:val="BodyText"/>
      </w:pPr>
      <w:r>
        <w:t xml:space="preserve">The perception of economic inequality can be understood as an individual’s subjective assessment of how resources are allocated among members of a given society</w:t>
      </w:r>
      <w:r>
        <w:t xml:space="preserve"> </w:t>
      </w:r>
      <w:r>
        <w:t xml:space="preserve">(</w:t>
      </w:r>
      <w:hyperlink w:anchor="ref-akyelken_urban_2020">
        <w:r>
          <w:rPr>
            <w:rStyle w:val="Hyperlink"/>
          </w:rPr>
          <w:t xml:space="preserve">Akyelken, 2020</w:t>
        </w:r>
      </w:hyperlink>
      <w:r>
        <w:t xml:space="preserve">)</w:t>
      </w:r>
      <w:r>
        <w:t xml:space="preserve">. Regardless of their measurement, various studies have shown that this perception often underestimates the gap between the rich and the poor, which could have implications for attitudes toward the distribution of goods and services</w:t>
      </w:r>
      <w:r>
        <w:t xml:space="preserve"> </w:t>
      </w:r>
      <w:r>
        <w:t xml:space="preserve">(</w:t>
      </w:r>
      <w:hyperlink w:anchor="ref-castillo_perception_2022">
        <w:r>
          <w:rPr>
            <w:rStyle w:val="Hyperlink"/>
          </w:rPr>
          <w:t xml:space="preserve">Castillo et al., 2022</w:t>
        </w:r>
      </w:hyperlink>
      <w:r>
        <w:t xml:space="preserve">;</w:t>
      </w:r>
      <w:r>
        <w:t xml:space="preserve"> </w:t>
      </w:r>
      <w:hyperlink w:anchor="ref-schroder_income_2017">
        <w:r>
          <w:rPr>
            <w:rStyle w:val="Hyperlink"/>
          </w:rPr>
          <w:t xml:space="preserve">Schröder, 2017</w:t>
        </w:r>
      </w:hyperlink>
      <w:r>
        <w:t xml:space="preserve">)</w:t>
      </w:r>
      <w:r>
        <w:t xml:space="preserve">. Moreover, in recent years, there has been a discussion about the subjective and objective aspects of inequality, demonstrating inconsistencies between the two</w:t>
      </w:r>
      <w:r>
        <w:t xml:space="preserve"> </w:t>
      </w:r>
      <w:r>
        <w:t xml:space="preserve">(</w:t>
      </w:r>
      <w:hyperlink w:anchor="ref-trump_income_2018">
        <w:r>
          <w:rPr>
            <w:rStyle w:val="Hyperlink"/>
          </w:rPr>
          <w:t xml:space="preserve">Trump, 2018</w:t>
        </w:r>
      </w:hyperlink>
      <w:r>
        <w:t xml:space="preserve">)</w:t>
      </w:r>
      <w:r>
        <w:t xml:space="preserve">. This tension is relevant because advancing the study of perceptions could help understand how perceived inequality affects the distribution of resources within a society (Becker, 2020).</w:t>
      </w:r>
    </w:p>
    <w:p>
      <w:pPr>
        <w:pStyle w:val="BodyText"/>
      </w:pPr>
      <w:r>
        <w:t xml:space="preserve">Perception of economic inequality has been associated with important outcomes such as redistributive preferences, justification of inequality, and legitimacy of the economic system</w:t>
      </w:r>
      <w:r>
        <w:t xml:space="preserve"> </w:t>
      </w:r>
      <w:r>
        <w:t xml:space="preserve">(</w:t>
      </w:r>
      <w:hyperlink w:anchor="ref-castillo_perception_2022">
        <w:r>
          <w:rPr>
            <w:rStyle w:val="Hyperlink"/>
          </w:rPr>
          <w:t xml:space="preserve">Castillo et al., 2022</w:t>
        </w:r>
      </w:hyperlink>
      <w:r>
        <w:t xml:space="preserve">;</w:t>
      </w:r>
      <w:r>
        <w:t xml:space="preserve"> </w:t>
      </w:r>
      <w:hyperlink w:anchor="ref-garcia-sanchez_attitudes_2020">
        <w:r>
          <w:rPr>
            <w:rStyle w:val="Hyperlink"/>
          </w:rPr>
          <w:t xml:space="preserve">García-Sánchez et al., 2020</w:t>
        </w:r>
      </w:hyperlink>
      <w:r>
        <w:t xml:space="preserve">,</w:t>
      </w:r>
      <w:r>
        <w:t xml:space="preserve"> </w:t>
      </w:r>
      <w:hyperlink w:anchor="ref-garcia-sanchez_perceptions_2018">
        <w:r>
          <w:rPr>
            <w:rStyle w:val="Hyperlink"/>
          </w:rPr>
          <w:t xml:space="preserve">2018</w:t>
        </w:r>
      </w:hyperlink>
      <w:r>
        <w:t xml:space="preserve">)</w:t>
      </w:r>
      <w:r>
        <w:t xml:space="preserve">. Research shows that greater perceived inequality fosters stronger preferences for redistribution, regardless of actual inequality levels</w:t>
      </w:r>
      <w:r>
        <w:t xml:space="preserve"> </w:t>
      </w:r>
      <w:r>
        <w:t xml:space="preserve">(</w:t>
      </w:r>
      <w:hyperlink w:anchor="ref-garcia-sanchez_vicious_2019">
        <w:r>
          <w:rPr>
            <w:rStyle w:val="Hyperlink"/>
          </w:rPr>
          <w:t xml:space="preserve">García-Sánchez et al., 2019</w:t>
        </w:r>
      </w:hyperlink>
      <w:r>
        <w:t xml:space="preserve">;</w:t>
      </w:r>
      <w:r>
        <w:t xml:space="preserve"> </w:t>
      </w:r>
      <w:hyperlink w:anchor="ref-gimpelson_misperceiving_2018">
        <w:r>
          <w:rPr>
            <w:rStyle w:val="Hyperlink"/>
          </w:rPr>
          <w:t xml:space="preserve">Gimpelson &amp; Treisman, 2018</w:t>
        </w:r>
      </w:hyperlink>
      <w:r>
        <w:t xml:space="preserve">)</w:t>
      </w:r>
      <w:r>
        <w:t xml:space="preserve">. However, other findings suggest that heightened perceptions of income gaps between high- and low-paying occupations may lead to greater justification of inequality</w:t>
      </w:r>
      <w:r>
        <w:t xml:space="preserve"> </w:t>
      </w:r>
      <w:r>
        <w:t xml:space="preserve">(</w:t>
      </w:r>
      <w:hyperlink w:anchor="ref-Castillo2011">
        <w:r>
          <w:rPr>
            <w:rStyle w:val="Hyperlink"/>
          </w:rPr>
          <w:t xml:space="preserve">Castillo, 2011</w:t>
        </w:r>
      </w:hyperlink>
      <w:r>
        <w:t xml:space="preserve">)</w:t>
      </w:r>
      <w:r>
        <w:t xml:space="preserve">. A less explored area in this regard concerns market justice, which denotes the degree to which individuals consider just that social goods and services (e.g., health, pensions, education) are allocated according to individual contribution, competition, and ability to pay</w:t>
      </w:r>
      <w:r>
        <w:t xml:space="preserve"> </w:t>
      </w:r>
      <w:r>
        <w:t xml:space="preserve">(</w:t>
      </w:r>
      <w:hyperlink w:anchor="ref-kluegel_legitimation_1999">
        <w:r>
          <w:rPr>
            <w:rStyle w:val="Hyperlink"/>
          </w:rPr>
          <w:t xml:space="preserve">Kluegel et al., 1999</w:t>
        </w:r>
      </w:hyperlink>
      <w:r>
        <w:t xml:space="preserve">;</w:t>
      </w:r>
      <w:r>
        <w:t xml:space="preserve"> </w:t>
      </w:r>
      <w:hyperlink w:anchor="ref-lane_market_1986">
        <w:r>
          <w:rPr>
            <w:rStyle w:val="Hyperlink"/>
          </w:rPr>
          <w:t xml:space="preserve">Lane, 1986</w:t>
        </w:r>
      </w:hyperlink>
      <w:r>
        <w:t xml:space="preserve">;</w:t>
      </w:r>
      <w:r>
        <w:t xml:space="preserve"> </w:t>
      </w:r>
      <w:hyperlink w:anchor="ref-lindh_public_2015">
        <w:r>
          <w:rPr>
            <w:rStyle w:val="Hyperlink"/>
          </w:rPr>
          <w:t xml:space="preserve">Lindh, 2015</w:t>
        </w:r>
      </w:hyperlink>
      <w:r>
        <w:t xml:space="preserve">)</w:t>
      </w:r>
      <w:r>
        <w:t xml:space="preserve">. Market justice attitudes reflect the belief that the market promotes procedural fairness—equality of opportunity—so that outcomes result from individual achievement</w:t>
      </w:r>
      <w:r>
        <w:t xml:space="preserve"> </w:t>
      </w:r>
      <w:r>
        <w:t xml:space="preserve">(</w:t>
      </w:r>
      <w:hyperlink w:anchor="ref-lane_market_1986">
        <w:r>
          <w:rPr>
            <w:rStyle w:val="Hyperlink"/>
          </w:rPr>
          <w:t xml:space="preserve">Lane, 1986</w:t>
        </w:r>
      </w:hyperlink>
      <w:r>
        <w:t xml:space="preserve">)</w:t>
      </w:r>
      <w:r>
        <w:t xml:space="preserve">. Indeed, Lindh</w:t>
      </w:r>
      <w:r>
        <w:t xml:space="preserve"> </w:t>
      </w:r>
      <w:r>
        <w:t xml:space="preserve">(</w:t>
      </w:r>
      <w:hyperlink w:anchor="ref-lindh_public_2015">
        <w:r>
          <w:rPr>
            <w:rStyle w:val="Hyperlink"/>
          </w:rPr>
          <w:t xml:space="preserve">2015</w:t>
        </w:r>
      </w:hyperlink>
      <w:r>
        <w:t xml:space="preserve">)</w:t>
      </w:r>
      <w:r>
        <w:t xml:space="preserve"> </w:t>
      </w:r>
      <w:r>
        <w:t xml:space="preserve">shows that market justice preferences are stronger in countries with higher private spending on services than in those with more comprehensive welfare systems. From this perspective, perceptions of economic inequality may be key, as lower perceived gaps can reinforce acceptance of free-market systems and justify existing inequalities.</w:t>
      </w:r>
    </w:p>
    <w:p>
      <w:pPr>
        <w:pStyle w:val="BodyText"/>
      </w:pPr>
      <w:r>
        <w:t xml:space="preserve">Meritocracy posits that inequality can be legitimized through distributive criteria such as effort and talent</w:t>
      </w:r>
      <w:r>
        <w:t xml:space="preserve"> </w:t>
      </w:r>
      <w:r>
        <w:t xml:space="preserve">(</w:t>
      </w:r>
      <w:hyperlink w:anchor="ref-davis_principles_2001">
        <w:r>
          <w:rPr>
            <w:rStyle w:val="Hyperlink"/>
          </w:rPr>
          <w:t xml:space="preserve">Davis &amp; Moore, 2001</w:t>
        </w:r>
      </w:hyperlink>
      <w:r>
        <w:t xml:space="preserve">;</w:t>
      </w:r>
      <w:r>
        <w:t xml:space="preserve"> </w:t>
      </w:r>
      <w:hyperlink w:anchor="ref-young_rise_1962">
        <w:r>
          <w:rPr>
            <w:rStyle w:val="Hyperlink"/>
          </w:rPr>
          <w:t xml:space="preserve">Young, 1962</w:t>
        </w:r>
      </w:hyperlink>
      <w:r>
        <w:t xml:space="preserve">)</w:t>
      </w:r>
      <w:r>
        <w:t xml:space="preserve">. Previous studies have demonstrated that people with stronger meritocratic beliefs tend to perceive less inequality as they attribute economic differences to individual achievements</w:t>
      </w:r>
      <w:r>
        <w:t xml:space="preserve"> </w:t>
      </w:r>
      <w:r>
        <w:t xml:space="preserve">(</w:t>
      </w:r>
      <w:hyperlink w:anchor="ref-mijs_paradox_2021">
        <w:r>
          <w:rPr>
            <w:rStyle w:val="Hyperlink"/>
          </w:rPr>
          <w:t xml:space="preserve">Mijs, 2021</w:t>
        </w:r>
      </w:hyperlink>
      <w:r>
        <w:t xml:space="preserve">;</w:t>
      </w:r>
      <w:r>
        <w:t xml:space="preserve"> </w:t>
      </w:r>
      <w:hyperlink w:anchor="ref-wilson_role_2003">
        <w:r>
          <w:rPr>
            <w:rStyle w:val="Hyperlink"/>
          </w:rPr>
          <w:t xml:space="preserve">Wilson, 2003</w:t>
        </w:r>
      </w:hyperlink>
      <w:r>
        <w:t xml:space="preserve">)</w:t>
      </w:r>
      <w:r>
        <w:t xml:space="preserve"> </w:t>
      </w:r>
      <w:r>
        <w:t xml:space="preserve">and also to justify more inequality as these beliefs are associated with attitudes that legitimize status differences</w:t>
      </w:r>
      <w:r>
        <w:t xml:space="preserve"> </w:t>
      </w:r>
      <w:r>
        <w:t xml:space="preserve">(</w:t>
      </w:r>
      <w:hyperlink w:anchor="ref-batruch_belief_2023">
        <w:r>
          <w:rPr>
            <w:rStyle w:val="Hyperlink"/>
          </w:rPr>
          <w:t xml:space="preserve">Batruch et al., 2023</w:t>
        </w:r>
      </w:hyperlink>
      <w:r>
        <w:t xml:space="preserve">)</w:t>
      </w:r>
      <w:r>
        <w:t xml:space="preserve">. In a context like Chile, where the distribution of goods and services is predominantly governed by market logics strongly introduced during the military dictatorship (1973-1989)</w:t>
      </w:r>
      <w:r>
        <w:t xml:space="preserve"> </w:t>
      </w:r>
      <w:r>
        <w:t xml:space="preserve">(</w:t>
      </w:r>
      <w:hyperlink w:anchor="ref-boccardo_30_2020">
        <w:r>
          <w:rPr>
            <w:rStyle w:val="Hyperlink"/>
          </w:rPr>
          <w:t xml:space="preserve">Boccardo, 2020</w:t>
        </w:r>
      </w:hyperlink>
      <w:r>
        <w:t xml:space="preserve">)</w:t>
      </w:r>
      <w:r>
        <w:t xml:space="preserve">, these beliefs can play a crucial role in the acceptance of social inequalities. Incorporating the perception of meritocracy in this literature allows for an understanding of how attitudes toward inequality are shaped not only by the perception of economic gaps, but also by beliefs about how these gaps are justified. Furthermore, these beliefs are often consolidated from an early age, reinforced by institutions promoting values such as effort and individual skills to climb socially</w:t>
      </w:r>
      <w:r>
        <w:t xml:space="preserve"> </w:t>
      </w:r>
      <w:r>
        <w:t xml:space="preserve">(</w:t>
      </w:r>
      <w:hyperlink w:anchor="ref-castillo_socialization_2024">
        <w:r>
          <w:rPr>
            <w:rStyle w:val="Hyperlink"/>
          </w:rPr>
          <w:t xml:space="preserve">Castillo et al., 2024</w:t>
        </w:r>
      </w:hyperlink>
      <w:r>
        <w:t xml:space="preserve">;</w:t>
      </w:r>
      <w:r>
        <w:t xml:space="preserve"> </w:t>
      </w:r>
      <w:hyperlink w:anchor="ref-reynolds_perceptions_2014">
        <w:r>
          <w:rPr>
            <w:rStyle w:val="Hyperlink"/>
          </w:rPr>
          <w:t xml:space="preserve">Reynolds &amp; Xian, 2014</w:t>
        </w:r>
      </w:hyperlink>
      <w:r>
        <w:t xml:space="preserve">)</w:t>
      </w:r>
      <w:r>
        <w:t xml:space="preserve">.</w:t>
      </w:r>
    </w:p>
    <w:p>
      <w:pPr>
        <w:pStyle w:val="BodyText"/>
      </w:pPr>
      <w:r>
        <w:t xml:space="preserve">The perception of meritocracy and the perception of economic inequality would interact intricately in shaping preferences for market justice. On the one hand, a stronger perception of merit as a criterion for distribution could minimize the perception of economic gaps, thus justifying an unequal system</w:t>
      </w:r>
      <w:r>
        <w:t xml:space="preserve"> </w:t>
      </w:r>
      <w:r>
        <w:t xml:space="preserve">(</w:t>
      </w:r>
      <w:hyperlink w:anchor="ref-castillo_percepcion_2019">
        <w:r>
          <w:rPr>
            <w:rStyle w:val="Hyperlink"/>
          </w:rPr>
          <w:t xml:space="preserve">Castillo et al., 2012</w:t>
        </w:r>
      </w:hyperlink>
      <w:r>
        <w:t xml:space="preserve">;</w:t>
      </w:r>
      <w:r>
        <w:t xml:space="preserve"> </w:t>
      </w:r>
      <w:hyperlink w:anchor="ref-mijs_paradox_2021">
        <w:r>
          <w:rPr>
            <w:rStyle w:val="Hyperlink"/>
          </w:rPr>
          <w:t xml:space="preserve">Mijs, 2021</w:t>
        </w:r>
      </w:hyperlink>
      <w:r>
        <w:t xml:space="preserve">)</w:t>
      </w:r>
      <w:r>
        <w:t xml:space="preserve">. On the other hand, the perception of inequality could moderate the impact of meritocracy, as a higher perception of economic gaps might challenge the idea that these are solely based on merit.</w:t>
      </w:r>
    </w:p>
    <w:p>
      <w:pPr>
        <w:pStyle w:val="BodyText"/>
      </w:pPr>
      <w:r>
        <w:t xml:space="preserve">The primary objective of this study is to analyze the interplay between perceptions of inequality and meritocracy and their joint influence on preferences for market justice in Chile from 2016 to 2023, using longitudinal data from the ELSOC survey. This interaction is expected to provide a more comprehensive explanation of attitudes toward market justice in a country characterized by high inequality and strong free-market influence</w:t>
      </w:r>
      <w:r>
        <w:t xml:space="preserve"> </w:t>
      </w:r>
      <w:r>
        <w:t xml:space="preserve">(</w:t>
      </w:r>
      <w:hyperlink w:anchor="ref-boccardo_30_2020">
        <w:r>
          <w:rPr>
            <w:rStyle w:val="Hyperlink"/>
          </w:rPr>
          <w:t xml:space="preserve">Boccardo, 2020</w:t>
        </w:r>
      </w:hyperlink>
      <w:r>
        <w:t xml:space="preserve">;</w:t>
      </w:r>
      <w:r>
        <w:t xml:space="preserve"> </w:t>
      </w:r>
      <w:hyperlink w:anchor="ref-flores_top_2020">
        <w:r>
          <w:rPr>
            <w:rStyle w:val="Hyperlink"/>
          </w:rPr>
          <w:t xml:space="preserve">Flores et al., 2020</w:t>
        </w:r>
      </w:hyperlink>
      <w:r>
        <w:t xml:space="preserve">)</w:t>
      </w:r>
      <w:r>
        <w:t xml:space="preserve">. Additionally, this analysis seeks to elucidate how political and social contingencies—such as the 2019 and 2022 social movements—might have moderated these relationships by prompting more critical reflection on the commodification of social services. Recognizing the temporal dimension in shaping market justice preferences is essential, given that such preferences are not static but are influenced by historical and contextual factors that challenge or reaffirm prevailing social norms. In this regard, variations in perceived economic inequality and meritocracy over time can affect how individuals endorse market-based approaches. Consequently, public opinion may shift from supporting market justice to embracing redistributive policies aimed at mitigating inequalities.</w:t>
      </w:r>
    </w:p>
    <w:bookmarkEnd w:id="20"/>
    <w:bookmarkStart w:id="25" w:name="Xfea4dcbd39ce30a8512b0783c47b51293299bf9"/>
    <w:p>
      <w:pPr>
        <w:pStyle w:val="Heading1"/>
      </w:pPr>
      <w:r>
        <w:t xml:space="preserve">2. Theoretical views on market justice, inequality perception, and meritocracy</w:t>
      </w:r>
    </w:p>
    <w:bookmarkStart w:id="21" w:name="the-justification-of-market-inequality"/>
    <w:p>
      <w:pPr>
        <w:pStyle w:val="Heading2"/>
      </w:pPr>
      <w:r>
        <w:t xml:space="preserve">2.1 The justification of market inequality</w:t>
      </w:r>
    </w:p>
    <w:p>
      <w:pPr>
        <w:pStyle w:val="FirstParagraph"/>
      </w:pPr>
      <w:r>
        <w:t xml:space="preserve">Conceptually,</w:t>
      </w:r>
      <w:r>
        <w:t xml:space="preserve"> </w:t>
      </w:r>
      <w:r>
        <w:rPr>
          <w:i/>
          <w:iCs/>
        </w:rPr>
        <w:t xml:space="preserve">market justice</w:t>
      </w:r>
      <w:r>
        <w:t xml:space="preserve"> </w:t>
      </w:r>
      <w:r>
        <w:t xml:space="preserve">has been discussed in the literature as a normative principle that legitimates the distribution of economic rewards based on individual merit. It is possible to trace the concept to the understanding of Lane</w:t>
      </w:r>
      <w:r>
        <w:t xml:space="preserve"> </w:t>
      </w:r>
      <w:r>
        <w:t xml:space="preserve">(</w:t>
      </w:r>
      <w:hyperlink w:anchor="ref-lane_market_1986">
        <w:r>
          <w:rPr>
            <w:rStyle w:val="Hyperlink"/>
          </w:rPr>
          <w:t xml:space="preserve">1986</w:t>
        </w:r>
      </w:hyperlink>
      <w:r>
        <w:t xml:space="preserve">)</w:t>
      </w:r>
      <w:r>
        <w:t xml:space="preserve">, who makes a contrast between market justice and political justice. The author defines market justice as a system of</w:t>
      </w:r>
      <w:r>
        <w:t xml:space="preserve"> </w:t>
      </w:r>
      <w:r>
        <w:t xml:space="preserve">“</w:t>
      </w:r>
      <w:r>
        <w:t xml:space="preserve">earned deserts,</w:t>
      </w:r>
      <w:r>
        <w:t xml:space="preserve">”</w:t>
      </w:r>
      <w:r>
        <w:t xml:space="preserve"> </w:t>
      </w:r>
      <w:r>
        <w:t xml:space="preserve">whereby individuals are seen as deserving of a determined distributive outcome due to their effort and skills. In contrast, political justice emphasizes principles of equality and need, which are often represented by the welfare state action through social policies. An important remark is that the principles of market justice rely on the assumption that markets are neutral and self-regulating arenas, where individuals are treated fairly because they face the same formal rules of engagement</w:t>
      </w:r>
      <w:r>
        <w:t xml:space="preserve"> </w:t>
      </w:r>
      <w:r>
        <w:t xml:space="preserve">(</w:t>
      </w:r>
      <w:hyperlink w:anchor="ref-lane_market_1986">
        <w:r>
          <w:rPr>
            <w:rStyle w:val="Hyperlink"/>
          </w:rPr>
          <w:t xml:space="preserve">Lane, 1986</w:t>
        </w:r>
      </w:hyperlink>
      <w:r>
        <w:t xml:space="preserve">)</w:t>
      </w:r>
      <w:r>
        <w:t xml:space="preserve">. Consequently, the legitimacy of market justice stems from the assumption that inequalities are not only inevitable but fair—so long as the rules are transparent and opportunities are open. In this way, market justice provides a moral justification for inequality by framing it as a necessary outcome of individual responsibility.</w:t>
      </w:r>
    </w:p>
    <w:p>
      <w:pPr>
        <w:pStyle w:val="BodyText"/>
      </w:pPr>
      <w:r>
        <w:t xml:space="preserve">Empirical studies have shown different strategies for the study of market justice preferences. A common approach in the literature is to gauge attitudes toward the legitimacy of inequality in specific domains, especially when linked to income differences. This can be traced to the seminal work of Kluegel and Smith</w:t>
      </w:r>
      <w:r>
        <w:t xml:space="preserve"> </w:t>
      </w:r>
      <w:r>
        <w:t xml:space="preserve">(</w:t>
      </w:r>
      <w:hyperlink w:anchor="ref-kluegel_beliefs_1981">
        <w:r>
          <w:rPr>
            <w:rStyle w:val="Hyperlink"/>
          </w:rPr>
          <w:t xml:space="preserve">1981</w:t>
        </w:r>
      </w:hyperlink>
      <w:r>
        <w:t xml:space="preserve">)</w:t>
      </w:r>
      <w:r>
        <w:t xml:space="preserve"> </w:t>
      </w:r>
      <w:r>
        <w:t xml:space="preserve">who assessed the normative foundations that explain public support for economic inequality. Over time, this approach has been extended beyond income to include other market-mediated outcomes, such as education, healthcare, and/or pensions. For example,</w:t>
      </w:r>
      <w:r>
        <w:t xml:space="preserve"> </w:t>
      </w:r>
      <w:r>
        <w:t xml:space="preserve">Von Dem Knesebeck et al. (</w:t>
      </w:r>
      <w:hyperlink w:anchor="ref-vondemknesebeck_are_2016">
        <w:r>
          <w:rPr>
            <w:rStyle w:val="Hyperlink"/>
          </w:rPr>
          <w:t xml:space="preserve">2016</w:t>
        </w:r>
      </w:hyperlink>
      <w:r>
        <w:t xml:space="preserve">)</w:t>
      </w:r>
      <w:r>
        <w:t xml:space="preserve"> </w:t>
      </w:r>
      <w:r>
        <w:t xml:space="preserve">and Immergut and Schneider</w:t>
      </w:r>
      <w:r>
        <w:t xml:space="preserve"> </w:t>
      </w:r>
      <w:r>
        <w:t xml:space="preserve">(</w:t>
      </w:r>
      <w:hyperlink w:anchor="ref-immergut_it_2020">
        <w:r>
          <w:rPr>
            <w:rStyle w:val="Hyperlink"/>
          </w:rPr>
          <w:t xml:space="preserve">2020</w:t>
        </w:r>
      </w:hyperlink>
      <w:r>
        <w:t xml:space="preserve">)</w:t>
      </w:r>
      <w:r>
        <w:t xml:space="preserve"> </w:t>
      </w:r>
      <w:r>
        <w:t xml:space="preserve">examine whether citizens consider it fair that individuals with higher incomes can access better healthcare, while Lee and Stacey</w:t>
      </w:r>
      <w:r>
        <w:t xml:space="preserve"> </w:t>
      </w:r>
      <w:r>
        <w:t xml:space="preserve">(</w:t>
      </w:r>
      <w:hyperlink w:anchor="ref-lee_fairness_2023">
        <w:r>
          <w:rPr>
            <w:rStyle w:val="Hyperlink"/>
          </w:rPr>
          <w:t xml:space="preserve">2023</w:t>
        </w:r>
      </w:hyperlink>
      <w:r>
        <w:t xml:space="preserve">)</w:t>
      </w:r>
      <w:r>
        <w:t xml:space="preserve"> </w:t>
      </w:r>
      <w:r>
        <w:t xml:space="preserve">apply a similar method in the context of education in Australia. These studies usually rely on a survey item asking respondents to evaluate the fairness of income-based access to welfare services, allowing for comparing justice perceptions across different contexts. Similarly, comparative studies have also considered these indicators to study the support for market-based distribution in welfare systems</w:t>
      </w:r>
      <w:r>
        <w:t xml:space="preserve"> </w:t>
      </w:r>
      <w:r>
        <w:t xml:space="preserve">(</w:t>
      </w:r>
      <w:hyperlink w:anchor="ref-lindh_public_2015">
        <w:r>
          <w:rPr>
            <w:rStyle w:val="Hyperlink"/>
          </w:rPr>
          <w:t xml:space="preserve">Lindh, 2015</w:t>
        </w:r>
      </w:hyperlink>
      <w:r>
        <w:t xml:space="preserve">;</w:t>
      </w:r>
      <w:r>
        <w:t xml:space="preserve"> </w:t>
      </w:r>
      <w:hyperlink w:anchor="ref-svallfors_political_2007">
        <w:r>
          <w:rPr>
            <w:rStyle w:val="Hyperlink"/>
          </w:rPr>
          <w:t xml:space="preserve">Svallfors, 2007</w:t>
        </w:r>
      </w:hyperlink>
      <w:r>
        <w:t xml:space="preserve">)</w:t>
      </w:r>
      <w:r>
        <w:t xml:space="preserve">. More recently, Castillo et al.</w:t>
      </w:r>
      <w:r>
        <w:t xml:space="preserve"> </w:t>
      </w:r>
      <w:r>
        <w:t xml:space="preserve">(</w:t>
      </w:r>
      <w:hyperlink w:anchor="ref-castillo_socialization_2024">
        <w:r>
          <w:rPr>
            <w:rStyle w:val="Hyperlink"/>
          </w:rPr>
          <w:t xml:space="preserve">2024</w:t>
        </w:r>
      </w:hyperlink>
      <w:r>
        <w:t xml:space="preserve">)</w:t>
      </w:r>
      <w:r>
        <w:t xml:space="preserve"> </w:t>
      </w:r>
      <w:r>
        <w:t xml:space="preserve">introduced a single-item composite measure of market justice to assess student attitudes toward income-based access to education, healthcare, and pensions in Chile. These empirical strategies all aim to capture the extent to which individuals accept inequality when framed as a reflection of market outcomes.</w:t>
      </w:r>
    </w:p>
    <w:p>
      <w:pPr>
        <w:pStyle w:val="BodyText"/>
      </w:pPr>
      <w:r>
        <w:t xml:space="preserve">The study of market justice preferences has increasingly focused on how they are shaped by individuals’ socioeconomic position, normative beliefs, and the institutional context in which they are embedded. Across the literature, there is empirical evidence suggesting that individuals in more advantaged socioeconomic positions—those with higher occupational class, income, and education—are more likely to support market justice principles</w:t>
      </w:r>
      <w:r>
        <w:t xml:space="preserve"> </w:t>
      </w:r>
      <w:r>
        <w:t xml:space="preserve">(</w:t>
      </w:r>
      <w:hyperlink w:anchor="ref-koos_moral_2019">
        <w:r>
          <w:rPr>
            <w:rStyle w:val="Hyperlink"/>
          </w:rPr>
          <w:t xml:space="preserve">Koos &amp; Sachweh, 2019</w:t>
        </w:r>
      </w:hyperlink>
      <w:r>
        <w:t xml:space="preserve">;</w:t>
      </w:r>
      <w:r>
        <w:t xml:space="preserve"> </w:t>
      </w:r>
      <w:hyperlink w:anchor="ref-svallfors_political_2007">
        <w:r>
          <w:rPr>
            <w:rStyle w:val="Hyperlink"/>
          </w:rPr>
          <w:t xml:space="preserve">Svallfors, 2007</w:t>
        </w:r>
      </w:hyperlink>
      <w:r>
        <w:t xml:space="preserve">)</w:t>
      </w:r>
      <w:r>
        <w:t xml:space="preserve">. This tendency reflects not only material self-interest but also a broader moral economy, in which winners of the market system internalize justifications for the status quo. At the same time, political ideology also plays a role —such as economically conservative values — where more right-wing individuals show higher support for meritocracy and more skepticism towards redistribution. This is particularly salient in countries with more restricted public provision of social services. For example, Castillo et al.</w:t>
      </w:r>
      <w:r>
        <w:t xml:space="preserve"> </w:t>
      </w:r>
      <w:r>
        <w:t xml:space="preserve">(</w:t>
      </w:r>
      <w:hyperlink w:anchor="ref-castillo_socialization_2024">
        <w:r>
          <w:rPr>
            <w:rStyle w:val="Hyperlink"/>
          </w:rPr>
          <w:t xml:space="preserve">2024</w:t>
        </w:r>
      </w:hyperlink>
      <w:r>
        <w:t xml:space="preserve">)</w:t>
      </w:r>
      <w:r>
        <w:t xml:space="preserve"> </w:t>
      </w:r>
      <w:r>
        <w:t xml:space="preserve">in Chile and, Lee and Stacey</w:t>
      </w:r>
      <w:r>
        <w:t xml:space="preserve"> </w:t>
      </w:r>
      <w:r>
        <w:t xml:space="preserve">(</w:t>
      </w:r>
      <w:hyperlink w:anchor="ref-lee_fairness_2023">
        <w:r>
          <w:rPr>
            <w:rStyle w:val="Hyperlink"/>
          </w:rPr>
          <w:t xml:space="preserve">2023</w:t>
        </w:r>
      </w:hyperlink>
      <w:r>
        <w:t xml:space="preserve">)</w:t>
      </w:r>
      <w:r>
        <w:t xml:space="preserve"> </w:t>
      </w:r>
      <w:r>
        <w:t xml:space="preserve">in Australia show that those with right-leaning individuals are more supportive of market-based distribution of welfare. Beyond individual characteristics, country-level institutions also play a central role. In liberal welfare regimes like those of the United States or the United Kingdom, market justice preferences are more widespread, while in coordinated or social-democratic regimes—such as Sweden or Germany—citizens are generally more critical of market-based inequalities</w:t>
      </w:r>
      <w:r>
        <w:t xml:space="preserve"> </w:t>
      </w:r>
      <w:r>
        <w:t xml:space="preserve">(</w:t>
      </w:r>
      <w:hyperlink w:anchor="ref-immergut_it_2020">
        <w:r>
          <w:rPr>
            <w:rStyle w:val="Hyperlink"/>
          </w:rPr>
          <w:t xml:space="preserve">Immergut &amp; Schneider, 2020</w:t>
        </w:r>
      </w:hyperlink>
      <w:r>
        <w:t xml:space="preserve">;</w:t>
      </w:r>
      <w:r>
        <w:t xml:space="preserve"> </w:t>
      </w:r>
      <w:hyperlink w:anchor="ref-lindh_public_2015">
        <w:r>
          <w:rPr>
            <w:rStyle w:val="Hyperlink"/>
          </w:rPr>
          <w:t xml:space="preserve">Lindh, 2015</w:t>
        </w:r>
      </w:hyperlink>
      <w:r>
        <w:t xml:space="preserve">)</w:t>
      </w:r>
      <w:r>
        <w:t xml:space="preserve">. These findings suggest that market justice is also shaped contextually, which is represented by the development of welfare institutions, in line with the policy-feedbacks literature [campbell_policy_2012; pierson_when_1993].</w:t>
      </w:r>
    </w:p>
    <w:bookmarkEnd w:id="21"/>
    <w:bookmarkStart w:id="22" w:name="perception-of-inequality"/>
    <w:p>
      <w:pPr>
        <w:pStyle w:val="Heading2"/>
      </w:pPr>
      <w:r>
        <w:t xml:space="preserve">2.2 Perception of inequality</w:t>
      </w:r>
    </w:p>
    <w:p>
      <w:pPr>
        <w:pStyle w:val="FirstParagraph"/>
      </w:pPr>
      <w:r>
        <w:t xml:space="preserve">Perceptions of inequality have been associated with attitudes about market justice</w:t>
      </w:r>
      <w:r>
        <w:t xml:space="preserve"> </w:t>
      </w:r>
      <w:r>
        <w:t xml:space="preserve">(</w:t>
      </w:r>
      <w:hyperlink w:anchor="ref-kluegel_social_1995a">
        <w:r>
          <w:rPr>
            <w:rStyle w:val="Hyperlink"/>
          </w:rPr>
          <w:t xml:space="preserve">Kluegel et al., 1995</w:t>
        </w:r>
      </w:hyperlink>
      <w:r>
        <w:t xml:space="preserve">;</w:t>
      </w:r>
      <w:r>
        <w:t xml:space="preserve"> </w:t>
      </w:r>
      <w:hyperlink w:anchor="ref-lindh_public_2015">
        <w:r>
          <w:rPr>
            <w:rStyle w:val="Hyperlink"/>
          </w:rPr>
          <w:t xml:space="preserve">Lindh, 2015</w:t>
        </w:r>
      </w:hyperlink>
      <w:r>
        <w:t xml:space="preserve">)</w:t>
      </w:r>
      <w:r>
        <w:t xml:space="preserve">. Research indicates that lower perceived inequality can reinforce support for market-based distributive arrangements by suggesting that the system is fair and that outcomes reflect effort and ability</w:t>
      </w:r>
      <w:r>
        <w:t xml:space="preserve"> </w:t>
      </w:r>
      <w:r>
        <w:t xml:space="preserve">(</w:t>
      </w:r>
      <w:hyperlink w:anchor="ref-kuhn_eye_2011">
        <w:r>
          <w:rPr>
            <w:rStyle w:val="Hyperlink"/>
          </w:rPr>
          <w:t xml:space="preserve">Kuhn, 2011</w:t>
        </w:r>
      </w:hyperlink>
      <w:r>
        <w:t xml:space="preserve">)</w:t>
      </w:r>
      <w:r>
        <w:t xml:space="preserve">. In contrast, when inequality is perceived as excessive or structurally determined, individuals could question the legitimacy of market justice and become more supportive of redistributive policies</w:t>
      </w:r>
      <w:r>
        <w:t xml:space="preserve"> </w:t>
      </w:r>
      <w:r>
        <w:t xml:space="preserve">(</w:t>
      </w:r>
      <w:hyperlink w:anchor="ref-castillo_perception_2022">
        <w:r>
          <w:rPr>
            <w:rStyle w:val="Hyperlink"/>
          </w:rPr>
          <w:t xml:space="preserve">Castillo et al., 2022</w:t>
        </w:r>
      </w:hyperlink>
      <w:r>
        <w:t xml:space="preserve">;</w:t>
      </w:r>
      <w:r>
        <w:t xml:space="preserve"> </w:t>
      </w:r>
      <w:hyperlink w:anchor="ref-garcia-sanchez_vicious_2019">
        <w:r>
          <w:rPr>
            <w:rStyle w:val="Hyperlink"/>
          </w:rPr>
          <w:t xml:space="preserve">García-Sánchez et al., 2019</w:t>
        </w:r>
      </w:hyperlink>
      <w:r>
        <w:t xml:space="preserve">)</w:t>
      </w:r>
      <w:r>
        <w:t xml:space="preserve">.</w:t>
      </w:r>
    </w:p>
    <w:p>
      <w:pPr>
        <w:pStyle w:val="BodyText"/>
      </w:pPr>
      <w:r>
        <w:t xml:space="preserve">Perceptions of inequality refer to individuals’ subjective evaluations of the extent, causes, and consequences of income and wealth disparities. Unlike objective measures such as the Gini index, perceived inequality captures how individuals make sense of distributive hierarchies in their everyday lives, shaped by reference groups, social comparisons, and information environments</w:t>
      </w:r>
      <w:r>
        <w:t xml:space="preserve"> </w:t>
      </w:r>
      <w:r>
        <w:t xml:space="preserve">(</w:t>
      </w:r>
      <w:hyperlink w:anchor="ref-garcia-castro_perceiving_2020">
        <w:r>
          <w:rPr>
            <w:rStyle w:val="Hyperlink"/>
          </w:rPr>
          <w:t xml:space="preserve">García-Castro et al., 2020</w:t>
        </w:r>
      </w:hyperlink>
      <w:r>
        <w:t xml:space="preserve">;</w:t>
      </w:r>
      <w:r>
        <w:t xml:space="preserve"> </w:t>
      </w:r>
      <w:hyperlink w:anchor="ref-gimpelson_misperceiving_2018">
        <w:r>
          <w:rPr>
            <w:rStyle w:val="Hyperlink"/>
          </w:rPr>
          <w:t xml:space="preserve">Gimpelson &amp; Treisman, 2018</w:t>
        </w:r>
      </w:hyperlink>
      <w:r>
        <w:t xml:space="preserve">;</w:t>
      </w:r>
      <w:r>
        <w:t xml:space="preserve"> </w:t>
      </w:r>
      <w:hyperlink w:anchor="ref-mijs_stratified_2016">
        <w:r>
          <w:rPr>
            <w:rStyle w:val="Hyperlink"/>
          </w:rPr>
          <w:t xml:space="preserve">Mijs, 2016</w:t>
        </w:r>
      </w:hyperlink>
      <w:r>
        <w:t xml:space="preserve">)</w:t>
      </w:r>
      <w:r>
        <w:t xml:space="preserve">. Scholars have proposed multiple dimensions of perceived inequality, including its magnitude (how significant are the gaps), vertical structure (between which groups), the trend over time (increasing or decreasing), and legitimacy (whether it is just or not)</w:t>
      </w:r>
      <w:r>
        <w:t xml:space="preserve"> </w:t>
      </w:r>
      <w:r>
        <w:t xml:space="preserve">(</w:t>
      </w:r>
      <w:hyperlink w:anchor="ref-engelhardt_what_2018">
        <w:r>
          <w:rPr>
            <w:rStyle w:val="Hyperlink"/>
          </w:rPr>
          <w:t xml:space="preserve">Engelhardt &amp; Wagener, 2018</w:t>
        </w:r>
      </w:hyperlink>
      <w:r>
        <w:t xml:space="preserve">;</w:t>
      </w:r>
      <w:r>
        <w:t xml:space="preserve"> </w:t>
      </w:r>
      <w:hyperlink w:anchor="ref-garcia-sanchez_vicious_2019">
        <w:r>
          <w:rPr>
            <w:rStyle w:val="Hyperlink"/>
          </w:rPr>
          <w:t xml:space="preserve">García-Sánchez et al., 2019</w:t>
        </w:r>
      </w:hyperlink>
      <w:r>
        <w:t xml:space="preserve">)</w:t>
      </w:r>
      <w:r>
        <w:t xml:space="preserve">. These dimensions encompass both cognitive and normative aspects of perceptions of inequality and can vary across societies and social groups, depending on exposure, ideology, and personal experience</w:t>
      </w:r>
      <w:r>
        <w:t xml:space="preserve"> </w:t>
      </w:r>
      <w:r>
        <w:t xml:space="preserve">(</w:t>
      </w:r>
      <w:hyperlink w:anchor="ref-castillo_perception_2022">
        <w:r>
          <w:rPr>
            <w:rStyle w:val="Hyperlink"/>
          </w:rPr>
          <w:t xml:space="preserve">Castillo et al., 2022</w:t>
        </w:r>
      </w:hyperlink>
      <w:r>
        <w:t xml:space="preserve">;</w:t>
      </w:r>
      <w:r>
        <w:t xml:space="preserve"> </w:t>
      </w:r>
      <w:hyperlink w:anchor="ref-garcia-sanchez_perceptions_2018">
        <w:r>
          <w:rPr>
            <w:rStyle w:val="Hyperlink"/>
          </w:rPr>
          <w:t xml:space="preserve">García-Sánchez et al., 2018</w:t>
        </w:r>
      </w:hyperlink>
      <w:r>
        <w:t xml:space="preserve">)</w:t>
      </w:r>
      <w:r>
        <w:t xml:space="preserve">.</w:t>
      </w:r>
    </w:p>
    <w:p>
      <w:pPr>
        <w:pStyle w:val="BodyText"/>
      </w:pPr>
      <w:r>
        <w:t xml:space="preserve">Among the different approaches to measuring perceived inequality, one of the most widely used is the estimation of wage gaps between occupational extremes, such as between a CEO and a manual worker. This type of item provides a concrete frame that respondents can relate to more easily than abstract questions about national income distribution</w:t>
      </w:r>
      <w:r>
        <w:t xml:space="preserve"> </w:t>
      </w:r>
      <w:r>
        <w:t xml:space="preserve">(</w:t>
      </w:r>
      <w:hyperlink w:anchor="ref-castillo_percepcion_2019">
        <w:r>
          <w:rPr>
            <w:rStyle w:val="Hyperlink"/>
          </w:rPr>
          <w:t xml:space="preserve">Castillo et al., 2012</w:t>
        </w:r>
      </w:hyperlink>
      <w:r>
        <w:t xml:space="preserve">;</w:t>
      </w:r>
      <w:r>
        <w:t xml:space="preserve"> </w:t>
      </w:r>
      <w:hyperlink w:anchor="ref-easterbrook_social_2021">
        <w:r>
          <w:rPr>
            <w:rStyle w:val="Hyperlink"/>
          </w:rPr>
          <w:t xml:space="preserve">Easterbrook, 2021</w:t>
        </w:r>
      </w:hyperlink>
      <w:r>
        <w:t xml:space="preserve">;</w:t>
      </w:r>
      <w:r>
        <w:t xml:space="preserve"> </w:t>
      </w:r>
      <w:hyperlink w:anchor="ref-willis_legitimacy_2015">
        <w:r>
          <w:rPr>
            <w:rStyle w:val="Hyperlink"/>
          </w:rPr>
          <w:t xml:space="preserve">Willis et al., 2015</w:t>
        </w:r>
      </w:hyperlink>
      <w:r>
        <w:t xml:space="preserve">)</w:t>
      </w:r>
      <w:r>
        <w:t xml:space="preserve">. While it enables the estimation of inequality using simple heuristics, this method is not without challenges. For instance, people often lack reliable knowledge about the earnings of those at the top of the income ladder, which leads to high variability in responses and the use of biased mental shortcuts</w:t>
      </w:r>
      <w:r>
        <w:t xml:space="preserve"> </w:t>
      </w:r>
      <w:r>
        <w:t xml:space="preserve">(</w:t>
      </w:r>
      <w:hyperlink w:anchor="ref-knell_perceptions_2020">
        <w:r>
          <w:rPr>
            <w:rStyle w:val="Hyperlink"/>
          </w:rPr>
          <w:t xml:space="preserve">Knell &amp; Stix, 2020</w:t>
        </w:r>
      </w:hyperlink>
      <w:r>
        <w:t xml:space="preserve">)</w:t>
      </w:r>
      <w:r>
        <w:t xml:space="preserve">. Despite this, perceived wage gaps are strong predictors of political attitudes</w:t>
      </w:r>
      <w:r>
        <w:t xml:space="preserve"> </w:t>
      </w:r>
      <w:r>
        <w:t xml:space="preserve">(</w:t>
      </w:r>
      <w:hyperlink w:anchor="ref-garcia-sanchez_perceptions_2018">
        <w:r>
          <w:rPr>
            <w:rStyle w:val="Hyperlink"/>
          </w:rPr>
          <w:t xml:space="preserve">García-Sánchez et al., 2018</w:t>
        </w:r>
      </w:hyperlink>
      <w:r>
        <w:t xml:space="preserve">;</w:t>
      </w:r>
      <w:r>
        <w:t xml:space="preserve"> </w:t>
      </w:r>
      <w:hyperlink w:anchor="ref-pedersen_attitudes_2019">
        <w:r>
          <w:rPr>
            <w:rStyle w:val="Hyperlink"/>
          </w:rPr>
          <w:t xml:space="preserve">Pedersen &amp; Mutz, 2019</w:t>
        </w:r>
      </w:hyperlink>
      <w:r>
        <w:t xml:space="preserve">)</w:t>
      </w:r>
      <w:r>
        <w:t xml:space="preserve">, making them a valuable tool for understanding public responses to economic disparities.</w:t>
      </w:r>
    </w:p>
    <w:p>
      <w:pPr>
        <w:pStyle w:val="BodyText"/>
      </w:pPr>
      <w:r>
        <w:t xml:space="preserve">Another relevant critique of this approach lies in its conflation of different psychological constructs. Many surveys assess perceived inequality through Likert-type items that ask respondents to agree or disagree with statements, such as</w:t>
      </w:r>
      <w:r>
        <w:t xml:space="preserve"> </w:t>
      </w:r>
      <w:r>
        <w:t xml:space="preserve">“</w:t>
      </w:r>
      <w:r>
        <w:t xml:space="preserve">income differences are too large,</w:t>
      </w:r>
      <w:r>
        <w:t xml:space="preserve">”</w:t>
      </w:r>
      <w:r>
        <w:t xml:space="preserve"> </w:t>
      </w:r>
      <w:r>
        <w:t xml:space="preserve">which captures general concern or discomfort rather than a specific perception</w:t>
      </w:r>
      <w:r>
        <w:t xml:space="preserve"> </w:t>
      </w:r>
      <w:r>
        <w:t xml:space="preserve">(</w:t>
      </w:r>
      <w:hyperlink w:anchor="ref-Castillo2011">
        <w:r>
          <w:rPr>
            <w:rStyle w:val="Hyperlink"/>
          </w:rPr>
          <w:t xml:space="preserve">Castillo, 2011</w:t>
        </w:r>
      </w:hyperlink>
      <w:r>
        <w:t xml:space="preserve">;</w:t>
      </w:r>
      <w:r>
        <w:t xml:space="preserve"> </w:t>
      </w:r>
      <w:hyperlink w:anchor="ref-garcia-sanchez_vicious_2019">
        <w:r>
          <w:rPr>
            <w:rStyle w:val="Hyperlink"/>
          </w:rPr>
          <w:t xml:space="preserve">García-Sánchez et al., 2019</w:t>
        </w:r>
      </w:hyperlink>
      <w:r>
        <w:t xml:space="preserve">)</w:t>
      </w:r>
      <w:r>
        <w:t xml:space="preserve">. These items mix cognitive estimations with affective evaluations, complicating the interpretation of what respondents perceive versus what they morally reject. As a result, the conceptual clarity between perceived inequality and inequality aversion remains blurred in many empirical studies. To address this limitation, recent work has emphasized the need to distinguish between absolute and comparative measures, as well as between ideal and actual estimates of economic gaps</w:t>
      </w:r>
      <w:r>
        <w:t xml:space="preserve"> </w:t>
      </w:r>
      <w:r>
        <w:t xml:space="preserve">(</w:t>
      </w:r>
      <w:hyperlink w:anchor="ref-auspurg_why_2017">
        <w:r>
          <w:rPr>
            <w:rStyle w:val="Hyperlink"/>
          </w:rPr>
          <w:t xml:space="preserve">Auspurg et al., 2017</w:t>
        </w:r>
      </w:hyperlink>
      <w:r>
        <w:t xml:space="preserve">;</w:t>
      </w:r>
      <w:r>
        <w:t xml:space="preserve"> </w:t>
      </w:r>
      <w:hyperlink w:anchor="ref-garcia-sanchez_creencias_2022">
        <w:r>
          <w:rPr>
            <w:rStyle w:val="Hyperlink"/>
          </w:rPr>
          <w:t xml:space="preserve">García-Sánchez &amp; De Carvalho, 2022</w:t>
        </w:r>
      </w:hyperlink>
      <w:r>
        <w:t xml:space="preserve">)</w:t>
      </w:r>
      <w:r>
        <w:t xml:space="preserve">.</w:t>
      </w:r>
    </w:p>
    <w:bookmarkEnd w:id="22"/>
    <w:bookmarkStart w:id="23" w:name="perception-of-meritocracy"/>
    <w:p>
      <w:pPr>
        <w:pStyle w:val="Heading2"/>
      </w:pPr>
      <w:r>
        <w:t xml:space="preserve">2.3 Perception of meritocracy</w:t>
      </w:r>
    </w:p>
    <w:p>
      <w:pPr>
        <w:pStyle w:val="FirstParagraph"/>
      </w:pPr>
      <w:r>
        <w:t xml:space="preserve">Meritocracy constitutes a central ideological framework for legitimizing different types of social inequality, for instance through market justice beliefs. Rooted in the belief that rewards and positions should be allocated based on individual effort and talent, meritocracy operates as a normative ideal and a descriptive belief about how society functions. As initially conceptualized by Michael Young</w:t>
      </w:r>
      <w:r>
        <w:t xml:space="preserve"> </w:t>
      </w:r>
      <w:r>
        <w:t xml:space="preserve">(</w:t>
      </w:r>
      <w:hyperlink w:anchor="ref-young_rise_1962">
        <w:r>
          <w:rPr>
            <w:rStyle w:val="Hyperlink"/>
          </w:rPr>
          <w:t xml:space="preserve">1962</w:t>
        </w:r>
      </w:hyperlink>
      <w:r>
        <w:t xml:space="preserve">)</w:t>
      </w:r>
      <w:r>
        <w:t xml:space="preserve">, the term was meant to critique a system in which merit-based stratification becomes a new form of inequality. However, over time, meritocracy has been widely supported in many societies as a fair and desirable principle of distribution, particularly within liberal democracies and market-oriented economies</w:t>
      </w:r>
      <w:r>
        <w:t xml:space="preserve"> </w:t>
      </w:r>
      <w:r>
        <w:t xml:space="preserve">(</w:t>
      </w:r>
      <w:hyperlink w:anchor="ref-mijs_paradox_2021">
        <w:r>
          <w:rPr>
            <w:rStyle w:val="Hyperlink"/>
          </w:rPr>
          <w:t xml:space="preserve">Mijs, 2021</w:t>
        </w:r>
      </w:hyperlink>
      <w:r>
        <w:t xml:space="preserve">;</w:t>
      </w:r>
      <w:r>
        <w:t xml:space="preserve"> </w:t>
      </w:r>
      <w:hyperlink w:anchor="ref-sandel_tyranny_2020">
        <w:r>
          <w:rPr>
            <w:rStyle w:val="Hyperlink"/>
          </w:rPr>
          <w:t xml:space="preserve">Sandel, 2020</w:t>
        </w:r>
      </w:hyperlink>
      <w:r>
        <w:t xml:space="preserve">)</w:t>
      </w:r>
      <w:r>
        <w:t xml:space="preserve">. From a sociological perspective, the belief in meritocracy is more than a cognitive assessment; it reflects a moral lens through which individuals interpret inequality. People who believe that success results from hard work and talent are more likely to view social and economic disparities as legitimate</w:t>
      </w:r>
      <w:r>
        <w:t xml:space="preserve"> </w:t>
      </w:r>
      <w:r>
        <w:t xml:space="preserve">(</w:t>
      </w:r>
      <w:hyperlink w:anchor="ref-batruch_belief_2023">
        <w:r>
          <w:rPr>
            <w:rStyle w:val="Hyperlink"/>
          </w:rPr>
          <w:t xml:space="preserve">Batruch et al., 2023</w:t>
        </w:r>
      </w:hyperlink>
      <w:r>
        <w:t xml:space="preserve">;</w:t>
      </w:r>
      <w:r>
        <w:t xml:space="preserve"> </w:t>
      </w:r>
      <w:hyperlink w:anchor="ref-castillo_percepcion_2019">
        <w:r>
          <w:rPr>
            <w:rStyle w:val="Hyperlink"/>
          </w:rPr>
          <w:t xml:space="preserve">Castillo et al., 2012</w:t>
        </w:r>
      </w:hyperlink>
      <w:r>
        <w:t xml:space="preserve">)</w:t>
      </w:r>
      <w:r>
        <w:t xml:space="preserve">. Conversely, if they see outcomes as driven by luck, social origin, or systemic barriers, inequality is more likely to be perceived as unjust. This distinction becomes crucial in societies with persistent structural inequality, where public narratives often emphasize personal responsibility and merit while overlooking entrenched disadvantages.</w:t>
      </w:r>
    </w:p>
    <w:p>
      <w:pPr>
        <w:pStyle w:val="BodyText"/>
      </w:pPr>
      <w:r>
        <w:t xml:space="preserve">We adopt a multidimensional perspective on meritocracy, distinguishing between two key dimensions: effort-based and talent-based perceptions. This distinction is essential, as it captures different pathways through which individuals justify inequality. Effort-based meritocracy emphasizes hard work and perseverance as the basis for social rewards, aligning closely with cultural narratives of personal responsibility. A talent-based meritocracy, by contrast, emphasizes intelligence and innate abilities, which are often perceived as less malleable and more unequally distributed. Both dimensions have been shown to correlate with acceptance of inequality, but they may carry distinct implications for how inequality is justified in specific domains</w:t>
      </w:r>
      <w:r>
        <w:t xml:space="preserve"> </w:t>
      </w:r>
      <w:r>
        <w:t xml:space="preserve">(</w:t>
      </w:r>
      <w:hyperlink w:anchor="ref-castillo_multidimensional_2023">
        <w:r>
          <w:rPr>
            <w:rStyle w:val="Hyperlink"/>
          </w:rPr>
          <w:t xml:space="preserve">Castillo et al., 2023</w:t>
        </w:r>
      </w:hyperlink>
      <w:r>
        <w:t xml:space="preserve">)</w:t>
      </w:r>
      <w:r>
        <w:t xml:space="preserve">. The relevance of this distinction is supported by recent studies, which show that individuals respond differently to these dimensions. For instance, perceptions that effort is rewarded in society are more strongly associated with positive evaluations of fairness and acceptance of unequal outcomes</w:t>
      </w:r>
      <w:r>
        <w:t xml:space="preserve"> </w:t>
      </w:r>
      <w:r>
        <w:t xml:space="preserve">(</w:t>
      </w:r>
      <w:hyperlink w:anchor="ref-batruch_belief_2023">
        <w:r>
          <w:rPr>
            <w:rStyle w:val="Hyperlink"/>
          </w:rPr>
          <w:t xml:space="preserve">Batruch et al., 2023</w:t>
        </w:r>
      </w:hyperlink>
      <w:r>
        <w:t xml:space="preserve">)</w:t>
      </w:r>
      <w:r>
        <w:t xml:space="preserve">. This may be because effort is seen as a controllable and morally virtuous trait, whereas talent is often perceived as a natural advantage. Consequently, effort-based meritocracy is likely more potent in legitimizing inequality, particularly in neoliberal contexts.</w:t>
      </w:r>
    </w:p>
    <w:p>
      <w:pPr>
        <w:pStyle w:val="BodyText"/>
      </w:pPr>
      <w:r>
        <w:t xml:space="preserve">These dimensions of meritocracy reflect how respondents perceive society’s distributive logic, regardless of whether they endorse meritocratic principles. This distinction aligns with recent findings indicating that individuals distinguish between how merit is perceived in society and how it should ideally operate, which in turn shapes their preferences for redistribution and justice</w:t>
      </w:r>
      <w:r>
        <w:t xml:space="preserve"> </w:t>
      </w:r>
      <w:r>
        <w:t xml:space="preserve">(</w:t>
      </w:r>
      <w:hyperlink w:anchor="ref-tejero-peregrina_perceived_2025">
        <w:r>
          <w:rPr>
            <w:rStyle w:val="Hyperlink"/>
          </w:rPr>
          <w:t xml:space="preserve">Tejero-Peregrina et al., 2025</w:t>
        </w:r>
      </w:hyperlink>
      <w:r>
        <w:t xml:space="preserve">)</w:t>
      </w:r>
      <w:r>
        <w:t xml:space="preserve"> </w:t>
      </w:r>
      <w:r>
        <w:t xml:space="preserve">Meritocratic beliefs serve as symbolic justifications for unequal outcomes, particularly when access is stratified by income or social opportunity. Prior studies have shown that individuals who perceive higher levels of meritocracy tend to express stronger support for unequal distributions that reflect market outcomes</w:t>
      </w:r>
      <w:r>
        <w:t xml:space="preserve"> </w:t>
      </w:r>
      <w:r>
        <w:t xml:space="preserve">(</w:t>
      </w:r>
      <w:hyperlink w:anchor="ref-castillo_percepcion_2019">
        <w:r>
          <w:rPr>
            <w:rStyle w:val="Hyperlink"/>
          </w:rPr>
          <w:t xml:space="preserve">Castillo et al., 2012</w:t>
        </w:r>
      </w:hyperlink>
      <w:r>
        <w:t xml:space="preserve">;</w:t>
      </w:r>
      <w:r>
        <w:t xml:space="preserve"> </w:t>
      </w:r>
      <w:hyperlink w:anchor="ref-castillo_socialization_2024">
        <w:r>
          <w:rPr>
            <w:rStyle w:val="Hyperlink"/>
          </w:rPr>
          <w:t xml:space="preserve">Castillo et al., 2024</w:t>
        </w:r>
      </w:hyperlink>
      <w:r>
        <w:t xml:space="preserve">)</w:t>
      </w:r>
      <w:r>
        <w:t xml:space="preserve">.</w:t>
      </w:r>
    </w:p>
    <w:p>
      <w:pPr>
        <w:pStyle w:val="BodyText"/>
      </w:pPr>
      <w:r>
        <w:t xml:space="preserve">In addition to influencing individual attitudes toward inequality, meritocratic beliefs can contribute to social division and the stigmatization of disadvantaged groups. Recent research has demonstrated that exposure to meritocratic narratives can reinforce the belief that poverty results from individual failings rather than systemic conditions, reducing support for redistributive measures and increasing the stigmatization of the poor</w:t>
      </w:r>
      <w:r>
        <w:t xml:space="preserve"> </w:t>
      </w:r>
      <w:r>
        <w:t xml:space="preserve">(</w:t>
      </w:r>
      <w:hyperlink w:anchor="ref-hoyt_mindsets_2023">
        <w:r>
          <w:rPr>
            <w:rStyle w:val="Hyperlink"/>
          </w:rPr>
          <w:t xml:space="preserve">Hoyt et al., 2023</w:t>
        </w:r>
      </w:hyperlink>
      <w:r>
        <w:t xml:space="preserve">)</w:t>
      </w:r>
      <w:r>
        <w:t xml:space="preserve">. This reinforces negative stereotypes and reduces empathy toward individuals from lower socioeconomic backgrounds. Moreover,</w:t>
      </w:r>
      <w:r>
        <w:t xml:space="preserve"> </w:t>
      </w:r>
      <w:r>
        <w:t xml:space="preserve">Busemeyer et al. (</w:t>
      </w:r>
      <w:hyperlink w:anchor="ref-busemeyer_positive_2021">
        <w:r>
          <w:rPr>
            <w:rStyle w:val="Hyperlink"/>
          </w:rPr>
          <w:t xml:space="preserve">2021</w:t>
        </w:r>
      </w:hyperlink>
      <w:r>
        <w:t xml:space="preserve">)</w:t>
      </w:r>
      <w:r>
        <w:t xml:space="preserve"> </w:t>
      </w:r>
      <w:r>
        <w:t xml:space="preserve">argues that meritocratic narratives can serve as feedback mechanisms that shape public opinion and well-being by framing individuals’ understanding of welfare outcomes as deserved or undeserved within existing institutional structures. This psychological mechanism highlights the normative power of meritocracy in stabilizing unequal systems by shaping political attitudes and personal perceptions of success and failure.</w:t>
      </w:r>
    </w:p>
    <w:bookmarkEnd w:id="23"/>
    <w:bookmarkStart w:id="24" w:name="this-study"/>
    <w:p>
      <w:pPr>
        <w:pStyle w:val="Heading2"/>
      </w:pPr>
      <w:r>
        <w:t xml:space="preserve">2.4 This study</w:t>
      </w:r>
    </w:p>
    <w:p>
      <w:pPr>
        <w:pStyle w:val="FirstParagraph"/>
      </w:pPr>
      <w:r>
        <w:t xml:space="preserve">Building upon the previous literature, this study proposes that attitudes toward market justice are shaped by a dynamic interplay between individuals’ perceptions of economic inequality and their beliefs in meritocracy. Specifically, we argue that both perceptions independently and interactively influence the extent to which individuals endorse market-based distributions of social goods and services in Chile.</w:t>
      </w:r>
    </w:p>
    <w:p>
      <w:pPr>
        <w:pStyle w:val="BodyText"/>
      </w:pPr>
      <w:r>
        <w:t xml:space="preserve">First, consistent with previous findings, we expect that a lower perception of economic inequality will be associated with stronger market justice preferences. When individuals perceive smaller income gaps, they are more likely to view market mechanisms as fair and legitimate, reinforcing the acceptance of outcomes based on competition and ability to pay. Conversely, a heightened perception of inequality may erode confidence in market fairness, weakening support for market-based distribution. This relationship is particularly relevant in the context of Chile, where the neoliberal economic model has been a dominant force in shaping public attitudes toward inequality and justice.</w:t>
      </w:r>
    </w:p>
    <w:p>
      <w:pPr>
        <w:pStyle w:val="BodyText"/>
      </w:pPr>
      <w:r>
        <w:t xml:space="preserve">Second, higher perceived meritocracy is expected to be positively associated with market justice preferences. Individuals who believe that effort and talent primarily determine success are more likely to justify unequal outcomes and endorse the notion that markets allocate resources fairly according to individual merit. This aligns with the idea that meritocratic beliefs serve as a moral framework that legitimizes market-based inequalities, as individuals perceive the system as just when they believe that rewards are based on individual merit. This is particularly relevant in contexts where neoliberal ideologies dominate, as they often emphasize individual responsibility and competition as the basis for social order.</w:t>
      </w:r>
    </w:p>
    <w:p>
      <w:pPr>
        <w:pStyle w:val="BodyText"/>
      </w:pPr>
      <w:r>
        <w:t xml:space="preserve">Third, we propose that perceptions of meritocracy and perceptions of economic inequality interact in shaping market justice attitudes. Specifically, we argue that the legitimizing effect of perceived meritocracy on market justice preferences is moderated by perceived economic inequality: when perceived inequality is low, the positive association between meritocratic beliefs and market justice preferences will be stronger. However, when perceived inequality is high, this association will weaken, as greater awareness of large economic gaps may challenge the view that outcomes are purely merit-based.</w:t>
      </w:r>
    </w:p>
    <w:p>
      <w:pPr>
        <w:pStyle w:val="BodyText"/>
      </w:pPr>
      <w:r>
        <w:t xml:space="preserve">Additionally, this study examines whether these relationships vary over time in response to significant social and political events. In particular, we explore whether the political outburst of 2019 and the subsequent constitutional processes in Chile — where socio-economic inequality was widely challenged — have altered how perceptions of inequality and meritocracy shape market justice attitudes. We expect that after these critical events, perceptions of inequality may have a stronger negative effect on market justice preferences, reflecting increased societal questioning of market-based allocation mechanisms.</w:t>
      </w:r>
    </w:p>
    <w:p>
      <w:pPr>
        <w:pStyle w:val="BodyText"/>
      </w:pPr>
      <w:r>
        <w:t xml:space="preserve">Based on these arguments, we propose the following hypotheses:</w:t>
      </w:r>
    </w:p>
    <w:p>
      <w:pPr>
        <w:pStyle w:val="BodyText"/>
      </w:pPr>
      <m:oMath>
        <m:r>
          <m:t>H</m:t>
        </m:r>
        <m:r>
          <m:t>1</m:t>
        </m:r>
      </m:oMath>
      <w:r>
        <w:t xml:space="preserve">: Higher perceived economic inequality is associated with less market justice preferences.</w:t>
      </w:r>
    </w:p>
    <w:p>
      <w:pPr>
        <w:pStyle w:val="BodyText"/>
      </w:pPr>
      <m:oMath>
        <m:r>
          <m:t>H</m:t>
        </m:r>
        <m:r>
          <m:t>2</m:t>
        </m:r>
      </m:oMath>
      <w:r>
        <w:t xml:space="preserve">: Higher meritocratic beliefs are associated with higher market justice preferences.</w:t>
      </w:r>
    </w:p>
    <w:p>
      <w:pPr>
        <w:pStyle w:val="BodyText"/>
      </w:pPr>
      <m:oMath>
        <m:r>
          <m:t>H</m:t>
        </m:r>
        <m:r>
          <m:t>3</m:t>
        </m:r>
      </m:oMath>
      <w:r>
        <w:t xml:space="preserve">: The positive association between meritocratic beliefs and market justice preferences is moderated by perceived economic inequality; specifically, this association is weaker when perceived economic inequality is high.</w:t>
      </w:r>
    </w:p>
    <w:p>
      <w:pPr>
        <w:pStyle w:val="BodyText"/>
      </w:pPr>
      <m:oMath>
        <m:r>
          <m:t>H</m:t>
        </m:r>
        <m:r>
          <m:t>4</m:t>
        </m:r>
      </m:oMath>
      <w:r>
        <w:t xml:space="preserve">: The effects described in H1–H3 are attenuated after major social mobilizations (2019–2022), reflecting increased critical views of the market’s role in allocating social goods.</w:t>
      </w:r>
    </w:p>
    <w:bookmarkEnd w:id="24"/>
    <w:bookmarkEnd w:id="25"/>
    <w:bookmarkStart w:id="33" w:name="data-variables-and-methods"/>
    <w:p>
      <w:pPr>
        <w:pStyle w:val="Heading1"/>
      </w:pPr>
      <w:r>
        <w:t xml:space="preserve">3. Data, Variables and Methods</w:t>
      </w:r>
    </w:p>
    <w:bookmarkStart w:id="28" w:name="data"/>
    <w:p>
      <w:pPr>
        <w:pStyle w:val="Heading2"/>
      </w:pPr>
      <w:r>
        <w:t xml:space="preserve">3.1 Data</w:t>
      </w:r>
    </w:p>
    <w:p>
      <w:pPr>
        <w:pStyle w:val="FirstParagraph"/>
      </w:pPr>
      <w:r>
        <w:t xml:space="preserve">This study draws on data from the Chilean Longitudinal Social Survey (ELSOC), a panel study collected annually from 2016 to 2023. The survey evaluates how individuals think, feel, and behave regarding conflict and social cohesion in Chile. ELSOC employs a probabilistic, stratified, clustered, multistage sampling design encompassing major urban centers (Santiago, Valparaíso, and Concepción) and smaller cities. The target population includes women and men aged 18–75 who are habitual residents of private dwellings. The first wave included 2,927 participants, representing northern and southern regions, covering 77% of the country’s total population and 93% of its urban population, with a response rate of 62.4%</w:t>
      </w:r>
      <w:r>
        <w:t xml:space="preserve"> </w:t>
      </w:r>
      <w:r>
        <w:t xml:space="preserve">(</w:t>
      </w:r>
      <w:hyperlink w:anchor="ref-elsoc_estudio_2022">
        <w:r>
          <w:rPr>
            <w:rStyle w:val="Hyperlink"/>
          </w:rPr>
          <w:t xml:space="preserve">ELSOC, 2022</w:t>
        </w:r>
      </w:hyperlink>
      <w:r>
        <w:t xml:space="preserve">)</w:t>
      </w:r>
      <w:r>
        <w:t xml:space="preserve">.</w:t>
      </w:r>
    </w:p>
    <w:p>
      <w:pPr>
        <w:pStyle w:val="BodyText"/>
      </w:pPr>
      <w:r>
        <w:t xml:space="preserve">The survey has been conducted yearly since 2016, except in 2020, when it was suspended due to the pandemic. Waves 2016, 2017, 2018, 2019, 2022, and 2023 used computer-assisted personal interviewing (CAPI), while a reduced wave in 2021 employed computer-assisted telephone interviews (CATI). Wave 3 included a refreshment sample (N = 1,519) to counter attrition, but these cases are not used here to capture longer response trends. Between wave 1 and wave 7, attrition amounted to 40%, achieving a final sample of N = 1,741. Longitudinal weights adjust for both the sampling design and potential biases arising from systematic non-participation. Further details on sampling, attrition, and weighting can be found at</w:t>
      </w:r>
      <w:r>
        <w:t xml:space="preserve"> </w:t>
      </w:r>
      <w:hyperlink r:id="rId26">
        <w:r>
          <w:rPr>
            <w:rStyle w:val="Hyperlink"/>
          </w:rPr>
          <w:t xml:space="preserve">https://coes.cl/encuesta-panel/</w:t>
        </w:r>
      </w:hyperlink>
      <w:r>
        <w:t xml:space="preserve">, and the dataset is publicly available at</w:t>
      </w:r>
      <w:r>
        <w:t xml:space="preserve"> </w:t>
      </w:r>
      <w:hyperlink r:id="rId27">
        <w:r>
          <w:rPr>
            <w:rStyle w:val="Hyperlink"/>
          </w:rPr>
          <w:t xml:space="preserve">https://dataverse.harvard.edu/dataverse/elsoc</w:t>
        </w:r>
      </w:hyperlink>
      <w:r>
        <w:t xml:space="preserve">.</w:t>
      </w:r>
    </w:p>
    <w:bookmarkEnd w:id="28"/>
    <w:bookmarkStart w:id="31" w:name="variables"/>
    <w:p>
      <w:pPr>
        <w:pStyle w:val="Heading2"/>
      </w:pPr>
      <w:r>
        <w:t xml:space="preserve">3.2 Variables</w:t>
      </w:r>
    </w:p>
    <w:p>
      <w:pPr>
        <w:pStyle w:val="FirstParagraph"/>
      </w:pPr>
      <w:r>
        <w:rPr>
          <w:b/>
          <w:bCs/>
        </w:rPr>
        <w:t xml:space="preserve">Market justice preferences</w:t>
      </w:r>
      <w:r>
        <w:t xml:space="preserve">: The dependent variable in this study is preferences for market justice. This construct is operationalized through three items that capture how strongly individuals justify conditioning access to social services—healthcare, pensions, and education— basen on individual income. Specifically, the justification of inequality in healthcare is assessed by the question:</w:t>
      </w:r>
      <w:r>
        <w:t xml:space="preserve"> </w:t>
      </w:r>
      <w:r>
        <w:t xml:space="preserve">“</w:t>
      </w:r>
      <w:r>
        <w:t xml:space="preserve">Is it fair in Chile that people with higher incomes can access better healthcare than people with lower incomes?</w:t>
      </w:r>
      <w:r>
        <w:t xml:space="preserve">”</w:t>
      </w:r>
      <w:r>
        <w:t xml:space="preserve"> </w:t>
      </w:r>
      <w:r>
        <w:t xml:space="preserve">The same question is posed for pensions and education. In all cases, respondents indicate their level of agreement on a five-point Likert scale ranging from 1 (</w:t>
      </w:r>
      <w:r>
        <w:t xml:space="preserve">“</w:t>
      </w:r>
      <w:r>
        <w:t xml:space="preserve">strongly disagree</w:t>
      </w:r>
      <w:r>
        <w:t xml:space="preserve">”</w:t>
      </w:r>
      <w:r>
        <w:t xml:space="preserve">) to 5 (</w:t>
      </w:r>
      <w:r>
        <w:t xml:space="preserve">“</w:t>
      </w:r>
      <w:r>
        <w:t xml:space="preserve">strongly agree</w:t>
      </w:r>
      <w:r>
        <w:t xml:space="preserve">”</w:t>
      </w:r>
      <w:r>
        <w:t xml:space="preserve">). Additionally, we include a composite measure of</w:t>
      </w:r>
      <w:r>
        <w:t xml:space="preserve"> </w:t>
      </w:r>
      <w:r>
        <w:t xml:space="preserve">“</w:t>
      </w:r>
      <w:r>
        <w:t xml:space="preserve">market justice preferences</w:t>
      </w:r>
      <w:r>
        <w:t xml:space="preserve">”</w:t>
      </w:r>
      <w:r>
        <w:t xml:space="preserve">, calculated as the average of these three items (</w:t>
      </w:r>
      <m:oMath>
        <m:r>
          <m:t>α</m:t>
        </m:r>
      </m:oMath>
      <w:r>
        <w:t xml:space="preserve"> </w:t>
      </w:r>
      <w:r>
        <w:t xml:space="preserve">= 0.84). This index ranges from 1 to 5, with higher values indicating stronger preferences for market justice (see</w:t>
      </w:r>
      <w:r>
        <w:t xml:space="preserve"> </w:t>
      </w:r>
      <w:hyperlink w:anchor="tbl-summary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summary1"/>
          <w:p>
            <w:pPr>
              <w:jc w:val="center"/>
            </w:pPr>
            <w:pPr>
              <w:jc w:val="start"/>
              <w:spacing w:before="200"/>
              <w:pStyle w:val="ImageCaption"/>
            </w:pPr>
            <w:r>
              <w:t xml:space="preserve">Table 1: Dependent variables for the first wave (2016)</w:t>
            </w:r>
          </w:p>
          <w:tbl>
            <w:tblPr>
              <w:tblStyle w:val="Table"/>
              <w:tblW w:type="pct" w:w="5000"/>
              <w:tblLayout w:type="fixed"/>
              <w:tblLook w:firstRow="1" w:lastRow="0" w:firstColumn="0" w:lastColumn="0" w:noHBand="0" w:noVBand="0" w:val="0020"/>
            </w:tblPr>
            <w:tblGrid>
              <w:gridCol w:w="2666"/>
              <w:gridCol w:w="2666"/>
              <w:gridCol w:w="1697"/>
              <w:gridCol w:w="888"/>
            </w:tblGrid>
            <w:tr>
              <w:trPr>
                <w:tblHeader w:val="on"/>
              </w:trPr>
              <w:tc>
                <w:tcPr/>
                <w:p>
                  <w:pPr>
                    <w:pStyle w:val="Compact"/>
                    <w:jc w:val="left"/>
                    <w:jc w:val="center"/>
                  </w:pPr>
                  <w:r>
                    <w:t xml:space="preserve">Label</w:t>
                  </w:r>
                </w:p>
              </w:tc>
              <w:tc>
                <w:tcPr/>
                <w:p>
                  <w:pPr>
                    <w:pStyle w:val="Compact"/>
                    <w:jc w:val="left"/>
                    <w:jc w:val="center"/>
                  </w:pPr>
                  <w:r>
                    <w:t xml:space="preserve">Stats / Values</w:t>
                  </w:r>
                </w:p>
              </w:tc>
              <w:tc>
                <w:tcPr/>
                <w:p>
                  <w:pPr>
                    <w:pStyle w:val="Compact"/>
                    <w:jc w:val="left"/>
                    <w:jc w:val="center"/>
                  </w:pPr>
                  <w:r>
                    <w:t xml:space="preserve">Freqs (% of Valid)</w:t>
                  </w:r>
                </w:p>
              </w:tc>
              <w:tc>
                <w:tcPr/>
                <w:p>
                  <w:pPr>
                    <w:pStyle w:val="Compact"/>
                    <w:jc w:val="left"/>
                    <w:jc w:val="center"/>
                  </w:pPr>
                  <w:r>
                    <w:t xml:space="preserve">Valid</w:t>
                  </w:r>
                </w:p>
              </w:tc>
            </w:tr>
            <w:tr>
              <w:tc>
                <w:tcPr/>
                <w:p>
                  <w:pPr>
                    <w:pStyle w:val="Compact"/>
                    <w:jc w:val="left"/>
                    <w:jc w:val="center"/>
                  </w:pPr>
                  <w:r>
                    <w:t xml:space="preserve">Health distributive justice</w:t>
                  </w:r>
                </w:p>
              </w:tc>
              <w:tc>
                <w:tcPr/>
                <w:p>
                  <w:pPr>
                    <w:pStyle w:val="Compact"/>
                    <w:jc w:val="left"/>
                    <w:jc w:val="center"/>
                  </w:pPr>
                  <w:r>
                    <w:t xml:space="preserve">1. Strongly desagree</w:t>
                  </w:r>
                  <w:r>
                    <w:br/>
                  </w:r>
                  <w:r>
                    <w:t xml:space="preserve">2. Desagree</w:t>
                  </w:r>
                  <w:r>
                    <w:br/>
                  </w:r>
                  <w:r>
                    <w:t xml:space="preserve">3. Neither agree nor desagre</w:t>
                  </w:r>
                  <w:r>
                    <w:br/>
                  </w:r>
                  <w:r>
                    <w:t xml:space="preserve">4. Agree</w:t>
                  </w:r>
                  <w:r>
                    <w:br/>
                  </w:r>
                  <w:r>
                    <w:t xml:space="preserve">5. Strongly agree</w:t>
                  </w:r>
                </w:p>
              </w:tc>
              <w:tc>
                <w:tcPr/>
                <w:p>
                  <w:pPr>
                    <w:pStyle w:val="Compact"/>
                    <w:jc w:val="left"/>
                    <w:jc w:val="center"/>
                  </w:pPr>
                  <w:r>
                    <w:t xml:space="preserve">558 (37.2%)</w:t>
                  </w:r>
                  <w:r>
                    <w:br/>
                  </w:r>
                  <w:r>
                    <w:t xml:space="preserve">729 (48.6%)</w:t>
                  </w:r>
                  <w:r>
                    <w:br/>
                  </w:r>
                  <w:r>
                    <w:t xml:space="preserve">63 ( 4.2%)</w:t>
                  </w:r>
                  <w:r>
                    <w:br/>
                  </w:r>
                  <w:r>
                    <w:t xml:space="preserve">133 ( 8.9%)</w:t>
                  </w:r>
                  <w:r>
                    <w:br/>
                  </w:r>
                  <w:r>
                    <w:t xml:space="preserve">18 ( 1.2%)</w:t>
                  </w:r>
                </w:p>
              </w:tc>
              <w:tc>
                <w:tcPr/>
                <w:p>
                  <w:pPr>
                    <w:pStyle w:val="Compact"/>
                    <w:jc w:val="left"/>
                    <w:jc w:val="center"/>
                  </w:pPr>
                  <w:r>
                    <w:t xml:space="preserve">1501</w:t>
                  </w:r>
                  <w:r>
                    <w:br/>
                  </w:r>
                  <w:r>
                    <w:t xml:space="preserve">(100.0%)</w:t>
                  </w:r>
                </w:p>
              </w:tc>
            </w:tr>
            <w:tr>
              <w:tc>
                <w:tcPr/>
                <w:p>
                  <w:pPr>
                    <w:pStyle w:val="Compact"/>
                    <w:jc w:val="left"/>
                    <w:jc w:val="center"/>
                  </w:pPr>
                  <w:r>
                    <w:t xml:space="preserve">Pension distributive justice</w:t>
                  </w:r>
                </w:p>
              </w:tc>
              <w:tc>
                <w:tcPr/>
                <w:p>
                  <w:pPr>
                    <w:pStyle w:val="Compact"/>
                    <w:jc w:val="left"/>
                    <w:jc w:val="center"/>
                  </w:pPr>
                  <w:r>
                    <w:t xml:space="preserve">1. Strongly desagree</w:t>
                  </w:r>
                  <w:r>
                    <w:br/>
                  </w:r>
                  <w:r>
                    <w:t xml:space="preserve">2. Desagree</w:t>
                  </w:r>
                  <w:r>
                    <w:br/>
                  </w:r>
                  <w:r>
                    <w:t xml:space="preserve">3. Neither agree nor desagre</w:t>
                  </w:r>
                  <w:r>
                    <w:br/>
                  </w:r>
                  <w:r>
                    <w:t xml:space="preserve">4. Agree</w:t>
                  </w:r>
                  <w:r>
                    <w:br/>
                  </w:r>
                  <w:r>
                    <w:t xml:space="preserve">5. Strongly agree</w:t>
                  </w:r>
                </w:p>
              </w:tc>
              <w:tc>
                <w:tcPr/>
                <w:p>
                  <w:pPr>
                    <w:pStyle w:val="Compact"/>
                    <w:jc w:val="left"/>
                    <w:jc w:val="center"/>
                  </w:pPr>
                  <w:r>
                    <w:t xml:space="preserve">426 (28.4%)</w:t>
                  </w:r>
                  <w:r>
                    <w:br/>
                  </w:r>
                  <w:r>
                    <w:t xml:space="preserve">718 (47.8%)</w:t>
                  </w:r>
                  <w:r>
                    <w:br/>
                  </w:r>
                  <w:r>
                    <w:t xml:space="preserve">108 ( 7.2%)</w:t>
                  </w:r>
                  <w:r>
                    <w:br/>
                  </w:r>
                  <w:r>
                    <w:t xml:space="preserve">226 (15.1%)</w:t>
                  </w:r>
                  <w:r>
                    <w:br/>
                  </w:r>
                  <w:r>
                    <w:t xml:space="preserve">23 ( 1.5%)</w:t>
                  </w:r>
                </w:p>
              </w:tc>
              <w:tc>
                <w:tcPr/>
                <w:p>
                  <w:pPr>
                    <w:pStyle w:val="Compact"/>
                    <w:jc w:val="left"/>
                    <w:jc w:val="center"/>
                  </w:pPr>
                  <w:r>
                    <w:t xml:space="preserve">1501</w:t>
                  </w:r>
                  <w:r>
                    <w:br/>
                  </w:r>
                  <w:r>
                    <w:t xml:space="preserve">(100.0%)</w:t>
                  </w:r>
                </w:p>
              </w:tc>
            </w:tr>
            <w:tr>
              <w:tc>
                <w:tcPr/>
                <w:p>
                  <w:pPr>
                    <w:pStyle w:val="Compact"/>
                    <w:jc w:val="left"/>
                    <w:jc w:val="center"/>
                  </w:pPr>
                  <w:r>
                    <w:t xml:space="preserve">Education distributive justice</w:t>
                  </w:r>
                </w:p>
              </w:tc>
              <w:tc>
                <w:tcPr/>
                <w:p>
                  <w:pPr>
                    <w:pStyle w:val="Compact"/>
                    <w:jc w:val="left"/>
                    <w:jc w:val="center"/>
                  </w:pPr>
                  <w:r>
                    <w:t xml:space="preserve">1. Strongly desagree</w:t>
                  </w:r>
                  <w:r>
                    <w:br/>
                  </w:r>
                  <w:r>
                    <w:t xml:space="preserve">2. Desagree</w:t>
                  </w:r>
                  <w:r>
                    <w:br/>
                  </w:r>
                  <w:r>
                    <w:t xml:space="preserve">3. Neither agree nor desagre</w:t>
                  </w:r>
                  <w:r>
                    <w:br/>
                  </w:r>
                  <w:r>
                    <w:t xml:space="preserve">4. Agree</w:t>
                  </w:r>
                  <w:r>
                    <w:br/>
                  </w:r>
                  <w:r>
                    <w:t xml:space="preserve">5. Strongly agree</w:t>
                  </w:r>
                </w:p>
              </w:tc>
              <w:tc>
                <w:tcPr/>
                <w:p>
                  <w:pPr>
                    <w:pStyle w:val="Compact"/>
                    <w:jc w:val="left"/>
                    <w:jc w:val="center"/>
                  </w:pPr>
                  <w:r>
                    <w:t xml:space="preserve">521 (34.7%)</w:t>
                  </w:r>
                  <w:r>
                    <w:br/>
                  </w:r>
                  <w:r>
                    <w:t xml:space="preserve">783 (52.2%)</w:t>
                  </w:r>
                  <w:r>
                    <w:br/>
                  </w:r>
                  <w:r>
                    <w:t xml:space="preserve">73 ( 4.9%)</w:t>
                  </w:r>
                  <w:r>
                    <w:br/>
                  </w:r>
                  <w:r>
                    <w:t xml:space="preserve">113 ( 7.5%)</w:t>
                  </w:r>
                  <w:r>
                    <w:br/>
                  </w:r>
                  <w:r>
                    <w:t xml:space="preserve">11 ( 0.7%)</w:t>
                  </w:r>
                </w:p>
              </w:tc>
              <w:tc>
                <w:tcPr/>
                <w:p>
                  <w:pPr>
                    <w:pStyle w:val="Compact"/>
                    <w:jc w:val="left"/>
                    <w:jc w:val="center"/>
                  </w:pPr>
                  <w:r>
                    <w:t xml:space="preserve">1501</w:t>
                  </w:r>
                  <w:r>
                    <w:br/>
                  </w:r>
                  <w:r>
                    <w:t xml:space="preserve">(100.0%)</w:t>
                  </w:r>
                </w:p>
              </w:tc>
            </w:tr>
            <w:tr>
              <w:tc>
                <w:tcPr/>
                <w:p>
                  <w:pPr>
                    <w:pStyle w:val="Compact"/>
                    <w:jc w:val="left"/>
                    <w:jc w:val="center"/>
                  </w:pPr>
                  <w:r>
                    <w:t xml:space="preserve">Market justice preferences</w:t>
                  </w:r>
                </w:p>
              </w:tc>
              <w:tc>
                <w:tcPr/>
                <w:p>
                  <w:pPr>
                    <w:pStyle w:val="Compact"/>
                    <w:jc w:val="left"/>
                    <w:jc w:val="center"/>
                  </w:pPr>
                  <w:r>
                    <w:t xml:space="preserve">Mean (sd) : 2 (0.8)</w:t>
                  </w:r>
                  <w:r>
                    <w:br/>
                  </w:r>
                  <w:r>
                    <w:t xml:space="preserve">min &lt; med &lt; max:</w:t>
                  </w:r>
                  <w:r>
                    <w:br/>
                  </w:r>
                  <w:r>
                    <w:t xml:space="preserve">1 &lt; 2 &lt; 5</w:t>
                  </w:r>
                  <w:r>
                    <w:br/>
                  </w:r>
                  <w:r>
                    <w:t xml:space="preserve">IQR (CV) : 0.7 (0.4)</w:t>
                  </w:r>
                </w:p>
              </w:tc>
              <w:tc>
                <w:tcPr/>
                <w:p>
                  <w:pPr>
                    <w:pStyle w:val="Compact"/>
                    <w:jc w:val="left"/>
                    <w:jc w:val="center"/>
                  </w:pPr>
                  <w:r>
                    <w:t xml:space="preserve">12 distinct values</w:t>
                  </w:r>
                </w:p>
              </w:tc>
              <w:tc>
                <w:tcPr/>
                <w:p>
                  <w:pPr>
                    <w:pStyle w:val="Compact"/>
                    <w:jc w:val="left"/>
                    <w:jc w:val="center"/>
                  </w:pPr>
                  <w:r>
                    <w:t xml:space="preserve">1501</w:t>
                  </w:r>
                  <w:r>
                    <w:br/>
                  </w:r>
                  <w:r>
                    <w:t xml:space="preserve">(100.0%)</w:t>
                  </w:r>
                </w:p>
              </w:tc>
            </w:tr>
          </w:tbl>
          <w:bookmarkEnd w:id="29"/>
          <w:p/>
        </w:tc>
      </w:tr>
    </w:tbl>
    <w:p>
      <w:pPr>
        <w:pStyle w:val="BodyText"/>
      </w:pPr>
      <w:r>
        <w:rPr>
          <w:b/>
          <w:bCs/>
        </w:rPr>
        <w:t xml:space="preserve">Perception of economic inequality</w:t>
      </w:r>
      <w:r>
        <w:t xml:space="preserve">: The main independent variable refers to the perception of economic inequality, measured through the perceived wage gap</w:t>
      </w:r>
      <w:r>
        <w:t xml:space="preserve"> </w:t>
      </w:r>
      <w:r>
        <w:t xml:space="preserve">(</w:t>
      </w:r>
      <w:hyperlink w:anchor="ref-castillo_cual_2009">
        <w:r>
          <w:rPr>
            <w:rStyle w:val="Hyperlink"/>
          </w:rPr>
          <w:t xml:space="preserve">Castillo, 2009</w:t>
        </w:r>
      </w:hyperlink>
      <w:r>
        <w:t xml:space="preserve">;</w:t>
      </w:r>
      <w:r>
        <w:t xml:space="preserve"> </w:t>
      </w:r>
      <w:hyperlink w:anchor="ref-gijsberts_thelegitimation_1999">
        <w:r>
          <w:rPr>
            <w:rStyle w:val="Hyperlink"/>
          </w:rPr>
          <w:t xml:space="preserve">Gijsberts, 1999</w:t>
        </w:r>
      </w:hyperlink>
      <w:r>
        <w:t xml:space="preserve">;</w:t>
      </w:r>
      <w:r>
        <w:t xml:space="preserve"> </w:t>
      </w:r>
      <w:hyperlink w:anchor="ref-hadler_why_2005">
        <w:r>
          <w:rPr>
            <w:rStyle w:val="Hyperlink"/>
          </w:rPr>
          <w:t xml:space="preserve">Hadler, 2005</w:t>
        </w:r>
      </w:hyperlink>
      <w:r>
        <w:t xml:space="preserve">)</w:t>
      </w:r>
      <w:r>
        <w:t xml:space="preserve">. This measure is derived from the salary gap between the perceived salaries of jobs at opposite ends of the occupational hierarchy. Specifically, it relies on the division between the perceived salary of a large-company president and that of an unskilled worker</w:t>
      </w:r>
      <w:r>
        <w:t xml:space="preserve"> </w:t>
      </w:r>
      <w:r>
        <w:t xml:space="preserve">(</w:t>
      </w:r>
      <w:hyperlink w:anchor="ref-Castillo2011">
        <w:r>
          <w:rPr>
            <w:rStyle w:val="Hyperlink"/>
          </w:rPr>
          <w:t xml:space="preserve">Castillo, 2011</w:t>
        </w:r>
      </w:hyperlink>
      <w:r>
        <w:t xml:space="preserve">)</w:t>
      </w:r>
      <w:r>
        <w:t xml:space="preserve">. Higher values of this term indicate a greater perception of economic inequality between occupations located at the extremes of the status continuum. This measure includes a logarithmic term in order to adjust income magnitudes (usually fewer cases with high income):</w:t>
      </w:r>
    </w:p>
    <w:p>
      <w:pPr>
        <w:pStyle w:val="BodyText"/>
      </w:pPr>
      <m:oMathPara>
        <m:oMathParaPr>
          <m:jc m:val="center"/>
        </m:oMathParaPr>
        <m:oMath>
          <m:r>
            <m:rPr>
              <m:nor/>
              <m:sty m:val="p"/>
            </m:rPr>
            <m:t>perceived wage gap</m:t>
          </m:r>
          <m:r>
            <m:rPr>
              <m:sty m:val="p"/>
            </m:rPr>
            <m:t>=</m:t>
          </m:r>
          <m:sSub>
            <m:e>
              <m:r>
                <m:rPr>
                  <m:sty m:val="p"/>
                </m:rPr>
                <m:t>log</m:t>
              </m:r>
            </m:e>
            <m:sub>
              <m:r>
                <m:t>10</m:t>
              </m:r>
            </m:sub>
          </m:sSub>
          <m:d>
            <m:dPr>
              <m:begChr m:val="("/>
              <m:endChr m:val=")"/>
              <m:sepChr m:val=""/>
              <m:grow/>
            </m:dPr>
            <m:e>
              <m:f>
                <m:fPr>
                  <m:type m:val="bar"/>
                </m:fPr>
                <m:num>
                  <m:r>
                    <m:rPr>
                      <m:nor/>
                      <m:sty m:val="p"/>
                    </m:rPr>
                    <m:t>perceived salary of a large-company president</m:t>
                  </m:r>
                </m:num>
                <m:den>
                  <m:r>
                    <m:rPr>
                      <m:nor/>
                      <m:sty m:val="p"/>
                    </m:rPr>
                    <m:t>perceived salary of an unskilled worker</m:t>
                  </m:r>
                </m:den>
              </m:f>
            </m:e>
          </m:d>
        </m:oMath>
      </m:oMathPara>
    </w:p>
    <w:p>
      <w:pPr>
        <w:pStyle w:val="FirstParagraph"/>
      </w:pPr>
      <w:r>
        <w:rPr>
          <w:b/>
          <w:bCs/>
        </w:rPr>
        <w:t xml:space="preserve">Perception of Meritocracy</w:t>
      </w:r>
      <w:r>
        <w:t xml:space="preserve">: this variable is operationalized through two components, namely effort and talent</w:t>
      </w:r>
      <w:r>
        <w:t xml:space="preserve"> </w:t>
      </w:r>
      <w:r>
        <w:t xml:space="preserve">(</w:t>
      </w:r>
      <w:hyperlink w:anchor="ref-young_rise_1962">
        <w:r>
          <w:rPr>
            <w:rStyle w:val="Hyperlink"/>
          </w:rPr>
          <w:t xml:space="preserve">Young, 1962</w:t>
        </w:r>
      </w:hyperlink>
      <w:r>
        <w:t xml:space="preserve">)</w:t>
      </w:r>
      <w:r>
        <w:t xml:space="preserve">. The item used to gauge effort is:</w:t>
      </w:r>
      <w:r>
        <w:t xml:space="preserve"> </w:t>
      </w:r>
      <w:r>
        <w:t xml:space="preserve">“</w:t>
      </w:r>
      <w:r>
        <w:t xml:space="preserve">In Chile, people are rewarded for their efforts,</w:t>
      </w:r>
      <w:r>
        <w:t xml:space="preserve">”</w:t>
      </w:r>
      <w:r>
        <w:t xml:space="preserve"> </w:t>
      </w:r>
      <w:r>
        <w:t xml:space="preserve">while the item for talent is:</w:t>
      </w:r>
      <w:r>
        <w:t xml:space="preserve"> </w:t>
      </w:r>
      <w:r>
        <w:t xml:space="preserve">“</w:t>
      </w:r>
      <w:r>
        <w:t xml:space="preserve">In Chile, people are rewarded for their intelligence and skills</w:t>
      </w:r>
      <w:r>
        <w:t xml:space="preserve">”</w:t>
      </w:r>
      <w:r>
        <w:t xml:space="preserve">. In both cases, respondents indicate their level of agreement on a five-point Likert scale, ranging from 1 (</w:t>
      </w:r>
      <w:r>
        <w:t xml:space="preserve">“</w:t>
      </w:r>
      <w:r>
        <w:t xml:space="preserve">strongly disagree</w:t>
      </w:r>
      <w:r>
        <w:t xml:space="preserve">”</w:t>
      </w:r>
      <w:r>
        <w:t xml:space="preserve">) to 5 (</w:t>
      </w:r>
      <w:r>
        <w:t xml:space="preserve">“</w:t>
      </w:r>
      <w:r>
        <w:t xml:space="preserve">strongly agree</w:t>
      </w:r>
      <w:r>
        <w:t xml:space="preserve">”</w:t>
      </w:r>
      <w:r>
        <w:t xml:space="preserve">).</w:t>
      </w:r>
    </w:p>
    <w:p>
      <w:pPr>
        <w:pStyle w:val="BodyText"/>
      </w:pPr>
      <w:r>
        <w:t xml:space="preserve">Table 2 shows the independent variables used, their response categories and their frequencies.</w:t>
      </w:r>
    </w:p>
    <w:tbl>
      <w:tblPr>
        <w:tblStyle w:val="Table"/>
        <w:tblW w:type="pct" w:w="5000"/>
        <w:tblLayout w:type="fixed"/>
        <w:tblLook w:firstRow="0" w:lastRow="0" w:firstColumn="0" w:lastColumn="0" w:noHBand="0" w:noVBand="0" w:val="0000"/>
      </w:tblPr>
      <w:tblGrid>
        <w:gridCol w:w="7920"/>
      </w:tblGrid>
      <w:tr>
        <w:tc>
          <w:tcPr/>
          <w:bookmarkStart w:id="30" w:name="tbl-summary2"/>
          <w:p>
            <w:pPr>
              <w:jc w:val="center"/>
            </w:pPr>
            <w:pPr>
              <w:jc w:val="start"/>
              <w:spacing w:before="200"/>
              <w:pStyle w:val="ImageCaption"/>
            </w:pPr>
            <w:r>
              <w:t xml:space="preserve">Table 2: Independent variables ELSOC survey (descriptives for first wave 2016)</w:t>
            </w:r>
          </w:p>
          <w:tbl>
            <w:tblPr>
              <w:tblStyle w:val="Table"/>
              <w:tblW w:type="pct" w:w="5000"/>
              <w:tblLayout w:type="fixed"/>
              <w:tblLook w:firstRow="1" w:lastRow="0" w:firstColumn="0" w:lastColumn="0" w:noHBand="0" w:noVBand="0" w:val="0020"/>
            </w:tblPr>
            <w:tblGrid>
              <w:gridCol w:w="2988"/>
              <w:gridCol w:w="2465"/>
              <w:gridCol w:w="1643"/>
              <w:gridCol w:w="821"/>
            </w:tblGrid>
            <w:tr>
              <w:trPr>
                <w:tblHeader w:val="on"/>
              </w:trPr>
              <w:tc>
                <w:tcPr/>
                <w:p>
                  <w:pPr>
                    <w:pStyle w:val="Compact"/>
                    <w:jc w:val="left"/>
                    <w:jc w:val="center"/>
                  </w:pPr>
                  <w:r>
                    <w:t xml:space="preserve">Label</w:t>
                  </w:r>
                </w:p>
              </w:tc>
              <w:tc>
                <w:tcPr/>
                <w:p>
                  <w:pPr>
                    <w:pStyle w:val="Compact"/>
                    <w:jc w:val="left"/>
                    <w:jc w:val="center"/>
                  </w:pPr>
                  <w:r>
                    <w:t xml:space="preserve">Stats / Values</w:t>
                  </w:r>
                </w:p>
              </w:tc>
              <w:tc>
                <w:tcPr/>
                <w:p>
                  <w:pPr>
                    <w:pStyle w:val="Compact"/>
                    <w:jc w:val="left"/>
                    <w:jc w:val="center"/>
                  </w:pPr>
                  <w:r>
                    <w:t xml:space="preserve">Freqs (% of Valid)</w:t>
                  </w:r>
                </w:p>
              </w:tc>
              <w:tc>
                <w:tcPr/>
                <w:p>
                  <w:pPr>
                    <w:pStyle w:val="Compact"/>
                    <w:jc w:val="left"/>
                    <w:jc w:val="center"/>
                  </w:pPr>
                  <w:r>
                    <w:t xml:space="preserve">Valid</w:t>
                  </w:r>
                </w:p>
              </w:tc>
            </w:tr>
            <w:tr>
              <w:tc>
                <w:tcPr/>
                <w:p>
                  <w:pPr>
                    <w:pStyle w:val="Compact"/>
                    <w:jc w:val="left"/>
                    <w:jc w:val="center"/>
                  </w:pPr>
                  <w:r>
                    <w:t xml:space="preserve">Inequality gap perception</w:t>
                  </w:r>
                </w:p>
              </w:tc>
              <w:tc>
                <w:tcPr/>
                <w:p>
                  <w:pPr>
                    <w:pStyle w:val="Compact"/>
                    <w:jc w:val="left"/>
                    <w:jc w:val="center"/>
                  </w:pPr>
                  <w:r>
                    <w:t xml:space="preserve">Mean (sd) : 3.7 (1.1)</w:t>
                  </w:r>
                  <w:r>
                    <w:br/>
                  </w:r>
                  <w:r>
                    <w:t xml:space="preserve">min &lt; med &lt; max:</w:t>
                  </w:r>
                  <w:r>
                    <w:br/>
                  </w:r>
                  <w:r>
                    <w:t xml:space="preserve">0.4 &lt; 3.7 &lt; 6.9</w:t>
                  </w:r>
                  <w:r>
                    <w:br/>
                  </w:r>
                  <w:r>
                    <w:t xml:space="preserve">IQR (CV) : 1.6 (0.3)</w:t>
                  </w:r>
                </w:p>
              </w:tc>
              <w:tc>
                <w:tcPr/>
                <w:p>
                  <w:pPr>
                    <w:pStyle w:val="Compact"/>
                    <w:jc w:val="left"/>
                    <w:jc w:val="center"/>
                  </w:pPr>
                  <w:r>
                    <w:t xml:space="preserve">296 distinct values</w:t>
                  </w:r>
                </w:p>
              </w:tc>
              <w:tc>
                <w:tcPr/>
                <w:p>
                  <w:pPr>
                    <w:pStyle w:val="Compact"/>
                    <w:jc w:val="left"/>
                    <w:jc w:val="center"/>
                  </w:pPr>
                  <w:r>
                    <w:t xml:space="preserve">1501</w:t>
                  </w:r>
                  <w:r>
                    <w:br/>
                  </w:r>
                  <w:r>
                    <w:t xml:space="preserve">(100.0%)</w:t>
                  </w:r>
                </w:p>
              </w:tc>
            </w:tr>
            <w:tr>
              <w:tc>
                <w:tcPr/>
                <w:p>
                  <w:pPr>
                    <w:pStyle w:val="Compact"/>
                    <w:jc w:val="left"/>
                    <w:jc w:val="center"/>
                  </w:pPr>
                  <w:r>
                    <w:t xml:space="preserve">People are rewarded for their efforts</w:t>
                  </w:r>
                </w:p>
              </w:tc>
              <w:tc>
                <w:tcPr/>
                <w:p>
                  <w:pPr>
                    <w:pStyle w:val="Compact"/>
                    <w:jc w:val="left"/>
                    <w:jc w:val="center"/>
                  </w:pPr>
                  <w:r>
                    <w:t xml:space="preserve">1. Strongly desagree</w:t>
                  </w:r>
                  <w:r>
                    <w:br/>
                  </w:r>
                  <w:r>
                    <w:t xml:space="preserve">2. Desagree</w:t>
                  </w:r>
                  <w:r>
                    <w:br/>
                  </w:r>
                  <w:r>
                    <w:t xml:space="preserve">3. Neither agree nor desagre</w:t>
                  </w:r>
                  <w:r>
                    <w:br/>
                  </w:r>
                  <w:r>
                    <w:t xml:space="preserve">4. Agree</w:t>
                  </w:r>
                  <w:r>
                    <w:br/>
                  </w:r>
                  <w:r>
                    <w:t xml:space="preserve">5. Strongly agree</w:t>
                  </w:r>
                </w:p>
              </w:tc>
              <w:tc>
                <w:tcPr/>
                <w:p>
                  <w:pPr>
                    <w:pStyle w:val="Compact"/>
                    <w:jc w:val="left"/>
                    <w:jc w:val="center"/>
                  </w:pPr>
                  <w:r>
                    <w:t xml:space="preserve">169 (11.3%)</w:t>
                  </w:r>
                  <w:r>
                    <w:br/>
                  </w:r>
                  <w:r>
                    <w:t xml:space="preserve">693 (46.2%)</w:t>
                  </w:r>
                  <w:r>
                    <w:br/>
                  </w:r>
                  <w:r>
                    <w:t xml:space="preserve">263 (17.5%)</w:t>
                  </w:r>
                  <w:r>
                    <w:br/>
                  </w:r>
                  <w:r>
                    <w:t xml:space="preserve">328 (21.9%)</w:t>
                  </w:r>
                  <w:r>
                    <w:br/>
                  </w:r>
                  <w:r>
                    <w:t xml:space="preserve">48 ( 3.2%)</w:t>
                  </w:r>
                </w:p>
              </w:tc>
              <w:tc>
                <w:tcPr/>
                <w:p>
                  <w:pPr>
                    <w:pStyle w:val="Compact"/>
                    <w:jc w:val="left"/>
                    <w:jc w:val="center"/>
                  </w:pPr>
                  <w:r>
                    <w:t xml:space="preserve">1501</w:t>
                  </w:r>
                  <w:r>
                    <w:br/>
                  </w:r>
                  <w:r>
                    <w:t xml:space="preserve">(100.0%)</w:t>
                  </w:r>
                </w:p>
              </w:tc>
            </w:tr>
            <w:tr>
              <w:tc>
                <w:tcPr/>
                <w:p>
                  <w:pPr>
                    <w:pStyle w:val="Compact"/>
                    <w:jc w:val="left"/>
                    <w:jc w:val="center"/>
                  </w:pPr>
                  <w:r>
                    <w:t xml:space="preserve">People are rewarded for their</w:t>
                  </w:r>
                  <w:r>
                    <w:t xml:space="preserve"> </w:t>
                  </w:r>
                  <w:r>
                    <w:t xml:space="preserve">intelligence</w:t>
                  </w:r>
                </w:p>
              </w:tc>
              <w:tc>
                <w:tcPr/>
                <w:p>
                  <w:pPr>
                    <w:pStyle w:val="Compact"/>
                    <w:jc w:val="left"/>
                    <w:jc w:val="center"/>
                  </w:pPr>
                  <w:r>
                    <w:t xml:space="preserve">1. Strongly desagree</w:t>
                  </w:r>
                  <w:r>
                    <w:br/>
                  </w:r>
                  <w:r>
                    <w:t xml:space="preserve">2. Desagree</w:t>
                  </w:r>
                  <w:r>
                    <w:br/>
                  </w:r>
                  <w:r>
                    <w:t xml:space="preserve">3. Neither agree nor desagre</w:t>
                  </w:r>
                  <w:r>
                    <w:br/>
                  </w:r>
                  <w:r>
                    <w:t xml:space="preserve">4. Agree</w:t>
                  </w:r>
                  <w:r>
                    <w:br/>
                  </w:r>
                  <w:r>
                    <w:t xml:space="preserve">5. Strongly agree</w:t>
                  </w:r>
                </w:p>
              </w:tc>
              <w:tc>
                <w:tcPr/>
                <w:p>
                  <w:pPr>
                    <w:pStyle w:val="Compact"/>
                    <w:jc w:val="left"/>
                    <w:jc w:val="center"/>
                  </w:pPr>
                  <w:r>
                    <w:t xml:space="preserve">134 ( 8.9%)</w:t>
                  </w:r>
                  <w:r>
                    <w:br/>
                  </w:r>
                  <w:r>
                    <w:t xml:space="preserve">617 (41.1%)</w:t>
                  </w:r>
                  <w:r>
                    <w:br/>
                  </w:r>
                  <w:r>
                    <w:t xml:space="preserve">294 (19.6%)</w:t>
                  </w:r>
                  <w:r>
                    <w:br/>
                  </w:r>
                  <w:r>
                    <w:t xml:space="preserve">401 (26.7%)</w:t>
                  </w:r>
                  <w:r>
                    <w:br/>
                  </w:r>
                  <w:r>
                    <w:t xml:space="preserve">55 ( 3.7%)</w:t>
                  </w:r>
                </w:p>
              </w:tc>
              <w:tc>
                <w:tcPr/>
                <w:p>
                  <w:pPr>
                    <w:pStyle w:val="Compact"/>
                    <w:jc w:val="left"/>
                    <w:jc w:val="center"/>
                  </w:pPr>
                  <w:r>
                    <w:t xml:space="preserve">1501</w:t>
                  </w:r>
                  <w:r>
                    <w:br/>
                  </w:r>
                  <w:r>
                    <w:t xml:space="preserve">(100.0%)</w:t>
                  </w:r>
                </w:p>
              </w:tc>
            </w:tr>
          </w:tbl>
          <w:bookmarkEnd w:id="30"/>
          <w:p/>
        </w:tc>
      </w:tr>
    </w:tbl>
    <w:p>
      <w:pPr>
        <w:pStyle w:val="BodyText"/>
      </w:pPr>
      <w:r>
        <w:rPr>
          <w:i/>
          <w:iCs/>
        </w:rPr>
        <w:t xml:space="preserve">Controls</w:t>
      </w:r>
    </w:p>
    <w:p>
      <w:pPr>
        <w:pStyle w:val="BodyText"/>
      </w:pPr>
      <w:r>
        <w:t xml:space="preserve">Sociodemographic and attitudinal variables are included to control for potential composition effects in the population. In terms of sociodemographic characteristics, we incorporate per capita household income quintile, educational level (1=Less than Universitary, 2=Universitary), age (in years), and sex (1=Male, 2=Female), which have been previously shown to influence market justice preferences significantly</w:t>
      </w:r>
      <w:r>
        <w:t xml:space="preserve"> </w:t>
      </w:r>
      <w:r>
        <w:t xml:space="preserve">(</w:t>
      </w:r>
      <w:hyperlink w:anchor="ref-castillo_socialization_2024">
        <w:r>
          <w:rPr>
            <w:rStyle w:val="Hyperlink"/>
          </w:rPr>
          <w:t xml:space="preserve">Castillo et al., 2024</w:t>
        </w:r>
      </w:hyperlink>
      <w:r>
        <w:t xml:space="preserve">;</w:t>
      </w:r>
      <w:r>
        <w:t xml:space="preserve"> </w:t>
      </w:r>
      <w:hyperlink w:anchor="ref-lindh_public_2015">
        <w:r>
          <w:rPr>
            <w:rStyle w:val="Hyperlink"/>
          </w:rPr>
          <w:t xml:space="preserve">Lindh, 2015</w:t>
        </w:r>
      </w:hyperlink>
      <w:r>
        <w:t xml:space="preserve">)</w:t>
      </w:r>
      <w:r>
        <w:t xml:space="preserve">. Regarding attitudinal variables, we include political identification (1=Left, 2=Center, 3=Right, 4=No identification) and subjective social status (ranging from 1 to 10) as they may affect the relationship between market justice preferences, perceptions of inequality, and meritocracy</w:t>
      </w:r>
      <w:r>
        <w:t xml:space="preserve"> </w:t>
      </w:r>
      <w:r>
        <w:t xml:space="preserve">(</w:t>
      </w:r>
      <w:hyperlink w:anchor="ref-schneider_poverty_2015">
        <w:r>
          <w:rPr>
            <w:rStyle w:val="Hyperlink"/>
          </w:rPr>
          <w:t xml:space="preserve">Schneider &amp; Castillo, 2015</w:t>
        </w:r>
      </w:hyperlink>
      <w:r>
        <w:t xml:space="preserve">)</w:t>
      </w:r>
      <w:r>
        <w:t xml:space="preserve">.</w:t>
      </w:r>
    </w:p>
    <w:bookmarkEnd w:id="31"/>
    <w:bookmarkStart w:id="32" w:name="methods"/>
    <w:p>
      <w:pPr>
        <w:pStyle w:val="Heading2"/>
      </w:pPr>
      <w:r>
        <w:t xml:space="preserve">3.3 Methods</w:t>
      </w:r>
    </w:p>
    <w:p>
      <w:pPr>
        <w:pStyle w:val="FirstParagraph"/>
      </w:pPr>
      <w:r>
        <w:t xml:space="preserve">Given the data’s hierarchical structure, in which observations are nested in survey waves, we employ longitudinal multilevel linear models</w:t>
      </w:r>
      <w:r>
        <w:t xml:space="preserve"> </w:t>
      </w:r>
      <w:r>
        <w:t xml:space="preserve">(</w:t>
      </w:r>
      <w:hyperlink w:anchor="ref-singer_applied_2009">
        <w:r>
          <w:rPr>
            <w:rStyle w:val="Hyperlink"/>
          </w:rPr>
          <w:t xml:space="preserve">Singer &amp; Willett, 2009</w:t>
        </w:r>
      </w:hyperlink>
      <w:r>
        <w:t xml:space="preserve">)</w:t>
      </w:r>
      <w:r>
        <w:t xml:space="preserve">. In a panel-data framework, within-person effects capture how shifts in individual-level variables across waves are associated with variations in market justice preferences. By contrast, between-person effects focus on differences among individuals, explaining how long-term (or average) values relate to overall levels of market justice preferences.</w:t>
      </w:r>
    </w:p>
    <w:p>
      <w:pPr>
        <w:pStyle w:val="BodyText"/>
      </w:pPr>
      <w:r>
        <w:t xml:space="preserve">To estimate within-person effects, we use group-mean centering, where each respondent functions as the</w:t>
      </w:r>
      <w:r>
        <w:t xml:space="preserve"> </w:t>
      </w:r>
      <w:r>
        <w:t xml:space="preserve">“</w:t>
      </w:r>
      <w:r>
        <w:t xml:space="preserve">group</w:t>
      </w:r>
      <w:r>
        <w:t xml:space="preserve">”</w:t>
      </w:r>
      <w:r>
        <w:t xml:space="preserve"> </w:t>
      </w:r>
      <w:r>
        <w:t xml:space="preserve">(i.e., observations nested within persons). Meanwhile, the between-person effects are derived from each individual’s average on these variables, calculated across the waves of panel data.</w:t>
      </w:r>
    </w:p>
    <w:p>
      <w:pPr>
        <w:pStyle w:val="BodyText"/>
      </w:pPr>
      <w:r>
        <w:t xml:space="preserve">All the analyses were conducted using R software and the</w:t>
      </w:r>
      <w:r>
        <w:t xml:space="preserve"> </w:t>
      </w:r>
      <w:r>
        <w:rPr>
          <w:i/>
          <w:iCs/>
        </w:rPr>
        <w:t xml:space="preserve">lme4</w:t>
      </w:r>
      <w:r>
        <w:t xml:space="preserve"> </w:t>
      </w:r>
      <w:r>
        <w:t xml:space="preserve">package</w:t>
      </w:r>
      <w:r>
        <w:t xml:space="preserve"> </w:t>
      </w:r>
      <w:r>
        <w:t xml:space="preserve">(</w:t>
      </w:r>
      <w:hyperlink w:anchor="ref-bates_fitting_2015">
        <w:r>
          <w:rPr>
            <w:rStyle w:val="Hyperlink"/>
          </w:rPr>
          <w:t xml:space="preserve">Bates et al., 2015</w:t>
        </w:r>
      </w:hyperlink>
      <w:r>
        <w:t xml:space="preserve">)</w:t>
      </w:r>
      <w:r>
        <w:t xml:space="preserve">.</w:t>
      </w:r>
    </w:p>
    <w:bookmarkEnd w:id="32"/>
    <w:bookmarkEnd w:id="33"/>
    <w:bookmarkStart w:id="62" w:name="results"/>
    <w:p>
      <w:pPr>
        <w:pStyle w:val="Heading1"/>
      </w:pPr>
      <w:r>
        <w:t xml:space="preserve">4. Results</w:t>
      </w:r>
    </w:p>
    <w:bookmarkStart w:id="46" w:name="descriptive"/>
    <w:p>
      <w:pPr>
        <w:pStyle w:val="Heading2"/>
      </w:pPr>
      <w:r>
        <w:t xml:space="preserve">4.1 Descriptive</w:t>
      </w:r>
    </w:p>
    <w:p>
      <w:pPr>
        <w:pStyle w:val="FirstParagraph"/>
      </w:pPr>
      <w:hyperlink w:anchor="fig-alluvial">
        <w:r>
          <w:rPr>
            <w:rStyle w:val="Hyperlink"/>
          </w:rPr>
          <w:t xml:space="preserve">Figure 1</w:t>
        </w:r>
      </w:hyperlink>
      <w:r>
        <w:t xml:space="preserve"> </w:t>
      </w:r>
      <w:r>
        <w:t xml:space="preserve">shows the annual frequencies of market justice preferences for healthcare, pensions, and education from 2016 to 2023. Each year presents stacked percentage frequencies, and the flows between them reflect opinion changes among the same individuals from one year to the next, given that we are using panel data. For instance, of the 40.8% who strongly disagreed with justifying inequality in healthcare in 2019, around 24.3% maintained that position in 2022, while the remaining 16.5% shifted toward other response categories—primarily moving into disagreement rather than strong disagreement. Overall, more than half of the respondents exhibit a high level of disagreement (disagree + strongly disagree) with inequality in these three social service areas over time. Despite this general pattern, recent waves show a slight decrease in disagreement and a corresponding rise in support for market-justice inequality. Specifically, in healthcare and education, although disagreement remains substantial, agreement (agree + strongly agree) increased from 7.4% and 7.2% in 2019 to 13.1% and 14.2% in 2023, respectively. This shift is most evident in pensions, where the combined agree/strongly agree category grew by about 10 percentage points, from 16.9% in 2016 to 28% in 2023.</w:t>
      </w:r>
    </w:p>
    <w:tbl>
      <w:tblPr>
        <w:tblStyle w:val="Table"/>
        <w:tblW w:type="pct" w:w="5000"/>
        <w:tblLayout w:type="fixed"/>
        <w:tblLook w:firstRow="0" w:lastRow="0" w:firstColumn="0" w:lastColumn="0" w:noHBand="0" w:noVBand="0" w:val="0000"/>
      </w:tblPr>
      <w:tblGrid>
        <w:gridCol w:w="7920"/>
      </w:tblGrid>
      <w:tr>
        <w:tc>
          <w:tcPr/>
          <w:bookmarkStart w:id="37" w:name="fig-alluvial"/>
          <w:p>
            <w:pPr>
              <w:jc w:val="center"/>
            </w:pPr>
            <w:pPr>
              <w:jc w:val="start"/>
              <w:spacing w:before="200"/>
              <w:pStyle w:val="ImageCaption"/>
            </w:pPr>
            <w:r>
              <w:t xml:space="preserve">Figure 1: Change in the justification of inequality in healthcare, pensions and education over time (2016-2023)</w:t>
            </w:r>
          </w:p>
          <w:p>
            <w:pPr>
              <w:pStyle w:val="Compact"/>
              <w:jc w:val="center"/>
            </w:pPr>
            <w:r>
              <w:drawing>
                <wp:inline>
                  <wp:extent cx="5334000" cy="6400799"/>
                  <wp:effectExtent b="0" l="0" r="0" t="0"/>
                  <wp:docPr descr="" title="" id="35" name="Picture"/>
                  <a:graphic>
                    <a:graphicData uri="http://schemas.openxmlformats.org/drawingml/2006/picture">
                      <pic:pic>
                        <pic:nvPicPr>
                          <pic:cNvPr descr="paper_files/figure-docx/fig-alluvial-1.png" id="36" name="Picture"/>
                          <pic:cNvPicPr>
                            <a:picLocks noChangeArrowheads="1" noChangeAspect="1"/>
                          </pic:cNvPicPr>
                        </pic:nvPicPr>
                        <pic:blipFill>
                          <a:blip r:embed="rId34"/>
                          <a:stretch>
                            <a:fillRect/>
                          </a:stretch>
                        </pic:blipFill>
                        <pic:spPr bwMode="auto">
                          <a:xfrm>
                            <a:off x="0" y="0"/>
                            <a:ext cx="5334000" cy="6400799"/>
                          </a:xfrm>
                          <a:prstGeom prst="rect">
                            <a:avLst/>
                          </a:prstGeom>
                          <a:noFill/>
                          <a:ln w="9525">
                            <a:noFill/>
                            <a:headEnd/>
                            <a:tailEnd/>
                          </a:ln>
                        </pic:spPr>
                      </pic:pic>
                    </a:graphicData>
                  </a:graphic>
                </wp:inline>
              </w:drawing>
            </w:r>
          </w:p>
          <w:bookmarkEnd w:id="37"/>
        </w:tc>
      </w:tr>
    </w:tbl>
    <w:p>
      <w:pPr>
        <w:pStyle w:val="BodyText"/>
      </w:pPr>
      <w:r>
        <w:t xml:space="preserve">Regarding the main dependent and independent variables of this study,</w:t>
      </w:r>
      <w:r>
        <w:t xml:space="preserve"> </w:t>
      </w:r>
      <w:hyperlink w:anchor="fig-meanchange">
        <w:r>
          <w:rPr>
            <w:rStyle w:val="Hyperlink"/>
          </w:rPr>
          <w:t xml:space="preserve">Figure 2</w:t>
        </w:r>
      </w:hyperlink>
      <w:r>
        <w:t xml:space="preserve"> </w:t>
      </w:r>
      <w:r>
        <w:t xml:space="preserve">depicts their average changes over the years. We observe an increase in the average level of market justice preferences in the most recent waves, which begins in 2019. The highest average consistently appears for perceived economic inequality, although this variable shows a downward trend of roughly one point over time. Interestingly, while perceptions of economic inequality declined in the latest measurements (2022–2023), market justice preferences increased. The meritocracy measures remain stable, though the perception that individuals are rewarded for intelligence is slightly higher than the perception that they are rewarded for their effort.</w:t>
      </w:r>
    </w:p>
    <w:tbl>
      <w:tblPr>
        <w:tblStyle w:val="Table"/>
        <w:tblW w:type="pct" w:w="5000"/>
        <w:tblLayout w:type="fixed"/>
        <w:tblLook w:firstRow="0" w:lastRow="0" w:firstColumn="0" w:lastColumn="0" w:noHBand="0" w:noVBand="0" w:val="0000"/>
      </w:tblPr>
      <w:tblGrid>
        <w:gridCol w:w="7920"/>
      </w:tblGrid>
      <w:tr>
        <w:tc>
          <w:tcPr/>
          <w:bookmarkStart w:id="41" w:name="fig-meanchange"/>
          <w:p>
            <w:pPr>
              <w:jc w:val="center"/>
            </w:pPr>
            <w:pPr>
              <w:jc w:val="start"/>
              <w:spacing w:before="200"/>
              <w:pStyle w:val="ImageCaption"/>
            </w:pPr>
            <w:r>
              <w:t xml:space="preserve">Figure 2: Change in the mean of market justice preferences, economic inequality perception, and meritocracy (2016-2023)</w:t>
            </w:r>
          </w:p>
          <w:p>
            <w:pPr>
              <w:pStyle w:val="Compact"/>
              <w:jc w:val="center"/>
            </w:pPr>
            <w:r>
              <w:drawing>
                <wp:inline>
                  <wp:extent cx="5334000" cy="4267199"/>
                  <wp:effectExtent b="0" l="0" r="0" t="0"/>
                  <wp:docPr descr="" title="" id="39" name="Picture"/>
                  <a:graphic>
                    <a:graphicData uri="http://schemas.openxmlformats.org/drawingml/2006/picture">
                      <pic:pic>
                        <pic:nvPicPr>
                          <pic:cNvPr descr="paper_files/figure-docx/fig-meanchange-1.png" id="40" name="Picture"/>
                          <pic:cNvPicPr>
                            <a:picLocks noChangeArrowheads="1" noChangeAspect="1"/>
                          </pic:cNvPicPr>
                        </pic:nvPicPr>
                        <pic:blipFill>
                          <a:blip r:embed="rId38"/>
                          <a:stretch>
                            <a:fillRect/>
                          </a:stretch>
                        </pic:blipFill>
                        <pic:spPr bwMode="auto">
                          <a:xfrm>
                            <a:off x="0" y="0"/>
                            <a:ext cx="5334000" cy="4267199"/>
                          </a:xfrm>
                          <a:prstGeom prst="rect">
                            <a:avLst/>
                          </a:prstGeom>
                          <a:noFill/>
                          <a:ln w="9525">
                            <a:noFill/>
                            <a:headEnd/>
                            <a:tailEnd/>
                          </a:ln>
                        </pic:spPr>
                      </pic:pic>
                    </a:graphicData>
                  </a:graphic>
                </wp:inline>
              </w:drawing>
            </w:r>
          </w:p>
          <w:bookmarkEnd w:id="41"/>
        </w:tc>
      </w:tr>
    </w:tbl>
    <w:p>
      <w:pPr>
        <w:pStyle w:val="BodyText"/>
      </w:pPr>
      <w:hyperlink w:anchor="fig-matrix">
        <w:r>
          <w:rPr>
            <w:rStyle w:val="Hyperlink"/>
          </w:rPr>
          <w:t xml:space="preserve">Figure 3</w:t>
        </w:r>
      </w:hyperlink>
      <w:r>
        <w:t xml:space="preserve"> </w:t>
      </w:r>
      <w:r>
        <w:t xml:space="preserve">presents the correlation matrix for the main variables in the latest wave (2023). Overall, the coefficients range from low to moderate. The association between market justice preferences and economic inequality perception is negative but small and statistically significant (</w:t>
      </w:r>
      <m:oMath>
        <m:r>
          <m:t>r</m:t>
        </m:r>
      </m:oMath>
      <w:r>
        <w:t xml:space="preserve"> </w:t>
      </w:r>
      <w:r>
        <w:t xml:space="preserve">= -0.05,</w:t>
      </w:r>
      <w:r>
        <w:t xml:space="preserve"> </w:t>
      </w:r>
      <m:oMath>
        <m:r>
          <m:t>p</m:t>
        </m:r>
      </m:oMath>
      <w:r>
        <w:t xml:space="preserve"> </w:t>
      </w:r>
      <w:r>
        <w:t xml:space="preserve">&lt; .05). By contrast, market justice preferences positively and significantly correlate with the two meritocracy variables (</w:t>
      </w:r>
      <m:oMath>
        <m:r>
          <m:t>r</m:t>
        </m:r>
      </m:oMath>
      <w:r>
        <w:t xml:space="preserve"> </w:t>
      </w:r>
      <w:r>
        <w:t xml:space="preserve">= 0.15,</w:t>
      </w:r>
      <w:r>
        <w:t xml:space="preserve"> </w:t>
      </w:r>
      <m:oMath>
        <m:r>
          <m:t>p</m:t>
        </m:r>
      </m:oMath>
      <w:r>
        <w:t xml:space="preserve"> </w:t>
      </w:r>
      <w:r>
        <w:t xml:space="preserve">&lt; .01;</w:t>
      </w:r>
      <w:r>
        <w:t xml:space="preserve"> </w:t>
      </w:r>
      <m:oMath>
        <m:r>
          <m:t>r</m:t>
        </m:r>
      </m:oMath>
      <w:r>
        <w:t xml:space="preserve"> </w:t>
      </w:r>
      <w:r>
        <w:t xml:space="preserve">= 0.13,</w:t>
      </w:r>
      <w:r>
        <w:t xml:space="preserve"> </w:t>
      </w:r>
      <m:oMath>
        <m:r>
          <m:t>p</m:t>
        </m:r>
      </m:oMath>
      <w:r>
        <w:t xml:space="preserve"> </w:t>
      </w:r>
      <w:r>
        <w:t xml:space="preserve">&lt; .01). Perceived economic inequality has negative and nonsignificant correlations with both meritocracy perceptions (</w:t>
      </w:r>
      <m:oMath>
        <m:r>
          <m:t>r</m:t>
        </m:r>
      </m:oMath>
      <w:r>
        <w:t xml:space="preserve"> </w:t>
      </w:r>
      <w:r>
        <w:t xml:space="preserve">= -0.04,</w:t>
      </w:r>
      <w:r>
        <w:t xml:space="preserve"> </w:t>
      </w:r>
      <m:oMath>
        <m:r>
          <m:t>p</m:t>
        </m:r>
      </m:oMath>
      <w:r>
        <w:t xml:space="preserve"> </w:t>
      </w:r>
      <w:r>
        <w:t xml:space="preserve">&gt; .05;</w:t>
      </w:r>
      <w:r>
        <w:t xml:space="preserve"> </w:t>
      </w:r>
      <m:oMath>
        <m:r>
          <m:t>r</m:t>
        </m:r>
      </m:oMath>
      <w:r>
        <w:t xml:space="preserve"> </w:t>
      </w:r>
      <w:r>
        <w:t xml:space="preserve">= -0.04,</w:t>
      </w:r>
      <w:r>
        <w:t xml:space="preserve"> </w:t>
      </w:r>
      <m:oMath>
        <m:r>
          <m:t>p</m:t>
        </m:r>
      </m:oMath>
      <w:r>
        <w:t xml:space="preserve"> </w:t>
      </w:r>
      <w:r>
        <w:t xml:space="preserve">&gt; .05). Finally, the two meritocracy variables exhibit a strong positive association with each other (</w:t>
      </w:r>
      <m:oMath>
        <m:r>
          <m:t>r</m:t>
        </m:r>
      </m:oMath>
      <w:r>
        <w:t xml:space="preserve"> </w:t>
      </w:r>
      <w:r>
        <w:t xml:space="preserve">= 0.69,</w:t>
      </w:r>
      <w:r>
        <w:t xml:space="preserve"> </w:t>
      </w:r>
      <m:oMath>
        <m:r>
          <m:t>p</m:t>
        </m:r>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5" w:name="fig-matrix"/>
          <w:p>
            <w:pPr>
              <w:jc w:val="center"/>
            </w:pPr>
            <w:pPr>
              <w:jc w:val="start"/>
              <w:spacing w:before="200"/>
              <w:pStyle w:val="ImageCaption"/>
            </w:pPr>
            <w:r>
              <w:t xml:space="preserve">Figure 3: Correlation matrix of the main variables for the last wave (2023)</w:t>
            </w:r>
          </w:p>
          <w:p>
            <w:pPr>
              <w:pStyle w:val="Compact"/>
              <w:jc w:val="center"/>
            </w:pPr>
            <w:r>
              <w:drawing>
                <wp:inline>
                  <wp:extent cx="4800600" cy="4800600"/>
                  <wp:effectExtent b="0" l="0" r="0" t="0"/>
                  <wp:docPr descr="" title="" id="43" name="Picture"/>
                  <a:graphic>
                    <a:graphicData uri="http://schemas.openxmlformats.org/drawingml/2006/picture">
                      <pic:pic>
                        <pic:nvPicPr>
                          <pic:cNvPr descr="paper_files/figure-docx/fig-matrix-1.png" id="44" name="Picture"/>
                          <pic:cNvPicPr>
                            <a:picLocks noChangeArrowheads="1" noChangeAspect="1"/>
                          </pic:cNvPicPr>
                        </pic:nvPicPr>
                        <pic:blipFill>
                          <a:blip r:embed="rId42"/>
                          <a:stretch>
                            <a:fillRect/>
                          </a:stretch>
                        </pic:blipFill>
                        <pic:spPr bwMode="auto">
                          <a:xfrm>
                            <a:off x="0" y="0"/>
                            <a:ext cx="4800600" cy="4800600"/>
                          </a:xfrm>
                          <a:prstGeom prst="rect">
                            <a:avLst/>
                          </a:prstGeom>
                          <a:noFill/>
                          <a:ln w="9525">
                            <a:noFill/>
                            <a:headEnd/>
                            <a:tailEnd/>
                          </a:ln>
                        </pic:spPr>
                      </pic:pic>
                    </a:graphicData>
                  </a:graphic>
                </wp:inline>
              </w:drawing>
            </w:r>
          </w:p>
          <w:bookmarkEnd w:id="45"/>
        </w:tc>
      </w:tr>
    </w:tbl>
    <w:bookmarkEnd w:id="46"/>
    <w:bookmarkStart w:id="61" w:name="multilevel-models"/>
    <w:p>
      <w:pPr>
        <w:pStyle w:val="Heading2"/>
      </w:pPr>
      <w:r>
        <w:t xml:space="preserve">4.2 Multilevel models</w:t>
      </w:r>
    </w:p>
    <w:p>
      <w:pPr>
        <w:pStyle w:val="FirstParagraph"/>
      </w:pPr>
      <w:hyperlink w:anchor="tbl-modelos">
        <w:r>
          <w:rPr>
            <w:rStyle w:val="Hyperlink"/>
          </w:rPr>
          <w:t xml:space="preserve">Table 3</w:t>
        </w:r>
      </w:hyperlink>
      <w:r>
        <w:t xml:space="preserve"> </w:t>
      </w:r>
      <w:r>
        <w:t xml:space="preserve">presents the results of the multilevel models estimated for market justice preferences, examining both individuals (within) and group-level (between) effects. The intraclass correlation</w:t>
      </w:r>
      <w:r>
        <w:t xml:space="preserve"> </w:t>
      </w:r>
      <w:r>
        <w:t xml:space="preserve">(</w:t>
      </w:r>
      <w:hyperlink w:anchor="ref-hoxMultilevelAnalysisTechniques2017a">
        <w:r>
          <w:rPr>
            <w:rStyle w:val="Hyperlink"/>
          </w:rPr>
          <w:t xml:space="preserve">Hox et al., 2017</w:t>
        </w:r>
      </w:hyperlink>
      <w:r>
        <w:t xml:space="preserve">)</w:t>
      </w:r>
      <w:r>
        <w:t xml:space="preserve"> </w:t>
      </w:r>
      <w:r>
        <w:t xml:space="preserve">from the empty model (see Supplementary Material), which decomposes the variance of market justice preferences, is 0.23, indicating that approximately 23% of the variation is attributable to differences between individuals. Complementary, 77% of the variation corresponds to within-individual differences over time.</w:t>
      </w:r>
    </w:p>
    <w:p>
      <w:pPr>
        <w:pStyle w:val="SourceCode"/>
      </w:pPr>
      <w:r>
        <w:rPr>
          <w:rStyle w:val="NormalTok"/>
        </w:rPr>
        <w:t xml:space="preserve">interactions</w:t>
      </w:r>
      <w:r>
        <w:rPr>
          <w:rStyle w:val="SpecialCharTok"/>
        </w:rPr>
        <w:t xml:space="preserve">::</w:t>
      </w:r>
      <w:r>
        <w:rPr>
          <w:rStyle w:val="FunctionTok"/>
        </w:rPr>
        <w:t xml:space="preserve">interact_plot</w:t>
      </w:r>
      <w:r>
        <w:rPr>
          <w:rStyle w:val="NormalTok"/>
        </w:rPr>
        <w:t xml:space="preserve">(m13</w:t>
      </w:r>
      <w:r>
        <w:rPr>
          <w:rStyle w:val="FloatTok"/>
        </w:rPr>
        <w:t xml:space="preserve">.2</w:t>
      </w:r>
      <w:r>
        <w:rPr>
          <w:rStyle w:val="NormalTok"/>
        </w:rPr>
        <w:t xml:space="preserve">, </w:t>
      </w:r>
      <w:r>
        <w:rPr>
          <w:rStyle w:val="AttributeTok"/>
        </w:rPr>
        <w:t xml:space="preserve">pred =</w:t>
      </w:r>
      <w:r>
        <w:rPr>
          <w:rStyle w:val="NormalTok"/>
        </w:rPr>
        <w:t xml:space="preserve"> </w:t>
      </w:r>
      <w:r>
        <w:rPr>
          <w:rStyle w:val="StringTok"/>
        </w:rPr>
        <w:t xml:space="preserve">"merit_effort_mean"</w:t>
      </w:r>
      <w:r>
        <w:rPr>
          <w:rStyle w:val="NormalTok"/>
        </w:rPr>
        <w:t xml:space="preserve">, </w:t>
      </w:r>
      <w:r>
        <w:rPr>
          <w:rStyle w:val="AttributeTok"/>
        </w:rPr>
        <w:t xml:space="preserve">modx=</w:t>
      </w:r>
      <w:r>
        <w:rPr>
          <w:rStyle w:val="StringTok"/>
        </w:rPr>
        <w:t xml:space="preserve">"perc_inequality_mean"</w:t>
      </w:r>
      <w:r>
        <w:rPr>
          <w:rStyle w:val="NormalTok"/>
        </w:rPr>
        <w:t xml:space="preserve">, </w:t>
      </w:r>
      <w:r>
        <w:rPr>
          <w:rStyle w:val="AttributeTok"/>
        </w:rPr>
        <w:t xml:space="preserve">mod2=</w:t>
      </w:r>
      <w:r>
        <w:rPr>
          <w:rStyle w:val="StringTok"/>
        </w:rPr>
        <w:t xml:space="preserve">"ola_num"</w:t>
      </w:r>
      <w:r>
        <w:rPr>
          <w:rStyle w:val="NormalTok"/>
        </w:rPr>
        <w:t xml:space="preserve">)</w:t>
      </w:r>
    </w:p>
    <w:p>
      <w:pPr>
        <w:pStyle w:val="FirstParagraph"/>
      </w:pPr>
      <w:r>
        <w:drawing>
          <wp:inline>
            <wp:extent cx="4533900" cy="2418079"/>
            <wp:effectExtent b="0" l="0" r="0" t="0"/>
            <wp:docPr descr="" title="" id="48" name="Picture"/>
            <a:graphic>
              <a:graphicData uri="http://schemas.openxmlformats.org/drawingml/2006/picture">
                <pic:pic>
                  <pic:nvPicPr>
                    <pic:cNvPr descr="paper_files/figure-docx/unnamed-chunk-14-1.png" id="49" name="Picture"/>
                    <pic:cNvPicPr>
                      <a:picLocks noChangeArrowheads="1" noChangeAspect="1"/>
                    </pic:cNvPicPr>
                  </pic:nvPicPr>
                  <pic:blipFill>
                    <a:blip r:embed="rId47"/>
                    <a:stretch>
                      <a:fillRect/>
                    </a:stretch>
                  </pic:blipFill>
                  <pic:spPr bwMode="auto">
                    <a:xfrm>
                      <a:off x="0" y="0"/>
                      <a:ext cx="4533900" cy="2418079"/>
                    </a:xfrm>
                    <a:prstGeom prst="rect">
                      <a:avLst/>
                    </a:prstGeom>
                    <a:noFill/>
                    <a:ln w="9525">
                      <a:noFill/>
                      <a:headEnd/>
                      <a:tailEnd/>
                    </a:ln>
                  </pic:spPr>
                </pic:pic>
              </a:graphicData>
            </a:graphic>
          </wp:inline>
        </w:drawing>
      </w:r>
    </w:p>
    <w:tbl>
      <w:tblPr>
        <w:tblStyle w:val="Table"/>
        <w:tblW w:type="pct" w:w="5000"/>
        <w:tblLayout w:type="fixed"/>
        <w:tblLook w:firstRow="0" w:lastRow="0" w:firstColumn="0" w:lastColumn="0" w:noHBand="0" w:noVBand="0" w:val="0000"/>
      </w:tblPr>
      <w:tblGrid>
        <w:gridCol w:w="7920"/>
      </w:tblGrid>
      <w:tr>
        <w:tc>
          <w:tcPr/>
          <w:bookmarkStart w:id="50" w:name="tbl-modelos"/>
          <w:p>
            <w:pPr>
              <w:jc w:val="center"/>
            </w:pPr>
            <w:pPr>
              <w:jc w:val="start"/>
              <w:spacing w:before="200"/>
              <w:pStyle w:val="ImageCaption"/>
            </w:pPr>
            <w:r>
              <w:t xml:space="preserve">Table 3: Longitudinal multilevel models for market justice preferences</w:t>
            </w:r>
          </w:p>
          <w:p>
            <w:pPr>
              <w:pStyle w:val="Compact"/>
              <w:jc w:val="center"/>
            </w:pPr>
            <w:r>
              <w:t xml:space="preserve"> </w:t>
            </w:r>
          </w:p>
          <w:p>
            <w:pPr>
              <w:pStyle w:val="Compact"/>
              <w:jc w:val="center"/>
            </w:pPr>
            <w:r>
              <w:t xml:space="preserve">Model 1</w:t>
            </w:r>
          </w:p>
          <w:p>
            <w:pPr>
              <w:pStyle w:val="Compact"/>
              <w:jc w:val="center"/>
            </w:pPr>
            <w:r>
              <w:t xml:space="preserve">Model 2</w:t>
            </w:r>
          </w:p>
          <w:p>
            <w:pPr>
              <w:pStyle w:val="Compact"/>
              <w:jc w:val="center"/>
            </w:pPr>
            <w:r>
              <w:t xml:space="preserve">Model 3</w:t>
            </w:r>
          </w:p>
          <w:p>
            <w:pPr>
              <w:pStyle w:val="Compact"/>
              <w:jc w:val="center"/>
            </w:pPr>
            <w:r>
              <w:t xml:space="preserve">Model 4</w:t>
            </w:r>
          </w:p>
          <w:p>
            <w:pPr>
              <w:pStyle w:val="Compact"/>
              <w:jc w:val="center"/>
            </w:pPr>
            <w:r>
              <w:t xml:space="preserve">Model 5</w:t>
            </w:r>
          </w:p>
          <w:p>
            <w:pPr>
              <w:pStyle w:val="Compact"/>
              <w:jc w:val="center"/>
            </w:pPr>
            <w:r>
              <w:t xml:space="preserve">Model 6</w:t>
            </w:r>
          </w:p>
          <w:p>
            <w:pPr>
              <w:pStyle w:val="Compact"/>
              <w:jc w:val="center"/>
            </w:pPr>
            <w:r>
              <w:t xml:space="preserve">Model 7</w:t>
            </w:r>
          </w:p>
          <w:p>
            <w:pPr>
              <w:pStyle w:val="Compact"/>
              <w:jc w:val="center"/>
            </w:pPr>
            <w:r>
              <w:t xml:space="preserve">Intercept</w:t>
            </w:r>
          </w:p>
          <w:p>
            <w:pPr>
              <w:pStyle w:val="Compact"/>
              <w:jc w:val="center"/>
            </w:pPr>
            <w:r>
              <w:t xml:space="preserve">1.968</w:t>
            </w:r>
            <w:r>
              <w:t xml:space="preserve">***</w:t>
            </w:r>
          </w:p>
          <w:p>
            <w:pPr>
              <w:pStyle w:val="Compact"/>
              <w:jc w:val="center"/>
            </w:pPr>
            <w:r>
              <w:t xml:space="preserve">2.015</w:t>
            </w:r>
            <w:r>
              <w:t xml:space="preserve">***</w:t>
            </w:r>
          </w:p>
          <w:p>
            <w:pPr>
              <w:pStyle w:val="Compact"/>
              <w:jc w:val="center"/>
            </w:pPr>
            <w:r>
              <w:t xml:space="preserve">2.030</w:t>
            </w:r>
            <w:r>
              <w:t xml:space="preserve">***</w:t>
            </w:r>
          </w:p>
          <w:p>
            <w:pPr>
              <w:pStyle w:val="Compact"/>
              <w:jc w:val="center"/>
            </w:pPr>
            <w:r>
              <w:t xml:space="preserve">2.028</w:t>
            </w:r>
            <w:r>
              <w:t xml:space="preserve">***</w:t>
            </w:r>
          </w:p>
          <w:p>
            <w:pPr>
              <w:pStyle w:val="Compact"/>
              <w:jc w:val="center"/>
            </w:pPr>
            <w:r>
              <w:t xml:space="preserve">2.169</w:t>
            </w:r>
            <w:r>
              <w:t xml:space="preserve">***</w:t>
            </w:r>
          </w:p>
          <w:p>
            <w:pPr>
              <w:pStyle w:val="Compact"/>
              <w:jc w:val="center"/>
            </w:pPr>
            <w:r>
              <w:t xml:space="preserve">1.456</w:t>
            </w:r>
            <w:r>
              <w:t xml:space="preserve">***</w:t>
            </w:r>
          </w:p>
          <w:p>
            <w:pPr>
              <w:pStyle w:val="Compact"/>
              <w:jc w:val="center"/>
            </w:pPr>
            <w:r>
              <w:t xml:space="preserve">1.547</w:t>
            </w:r>
            <w:r>
              <w:t xml:space="preserve">***</w:t>
            </w:r>
          </w:p>
          <w:p>
            <w:pPr>
              <w:pStyle w:val="Compact"/>
              <w:jc w:val="center"/>
            </w:pPr>
            <w:r>
              <w:t xml:space="preserve"> </w:t>
            </w:r>
          </w:p>
          <w:p>
            <w:pPr>
              <w:pStyle w:val="Compact"/>
              <w:jc w:val="center"/>
            </w:pPr>
            <w:r>
              <w:t xml:space="preserve">(0.021)</w:t>
            </w:r>
          </w:p>
          <w:p>
            <w:pPr>
              <w:pStyle w:val="Compact"/>
              <w:jc w:val="center"/>
            </w:pPr>
            <w:r>
              <w:t xml:space="preserve">(0.035)</w:t>
            </w:r>
          </w:p>
          <w:p>
            <w:pPr>
              <w:pStyle w:val="Compact"/>
              <w:jc w:val="center"/>
            </w:pPr>
            <w:r>
              <w:t xml:space="preserve">(0.035)</w:t>
            </w:r>
          </w:p>
          <w:p>
            <w:pPr>
              <w:pStyle w:val="Compact"/>
              <w:jc w:val="center"/>
            </w:pPr>
            <w:r>
              <w:t xml:space="preserve">(0.035)</w:t>
            </w:r>
          </w:p>
          <w:p>
            <w:pPr>
              <w:pStyle w:val="Compact"/>
              <w:jc w:val="center"/>
            </w:pPr>
            <w:r>
              <w:t xml:space="preserve">(0.070)</w:t>
            </w:r>
          </w:p>
          <w:p>
            <w:pPr>
              <w:pStyle w:val="Compact"/>
              <w:jc w:val="center"/>
            </w:pPr>
            <w:r>
              <w:t xml:space="preserve">(0.097)</w:t>
            </w:r>
          </w:p>
          <w:p>
            <w:pPr>
              <w:pStyle w:val="Compact"/>
              <w:jc w:val="center"/>
            </w:pPr>
            <w:r>
              <w:t xml:space="preserve">(0.115)</w:t>
            </w:r>
          </w:p>
          <w:p>
            <w:pPr>
              <w:pStyle w:val="Compact"/>
              <w:jc w:val="center"/>
            </w:pPr>
            <w:r>
              <w:t xml:space="preserve">Wave (Ref.= 2016)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Wave 2017</w:t>
            </w:r>
          </w:p>
          <w:p>
            <w:pPr>
              <w:pStyle w:val="Compact"/>
              <w:jc w:val="center"/>
            </w:pPr>
            <w:r>
              <w:t xml:space="preserve">-0.167</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Wave 2018</w:t>
            </w:r>
          </w:p>
          <w:p>
            <w:pPr>
              <w:pStyle w:val="Compact"/>
              <w:jc w:val="center"/>
            </w:pPr>
            <w:r>
              <w:t xml:space="preserve">-0.025</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Wave 2019</w:t>
            </w:r>
          </w:p>
          <w:p>
            <w:pPr>
              <w:pStyle w:val="Compact"/>
              <w:jc w:val="center"/>
            </w:pPr>
            <w:r>
              <w:t xml:space="preserve">-0.046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Wave 2022</w:t>
            </w:r>
          </w:p>
          <w:p>
            <w:pPr>
              <w:pStyle w:val="Compact"/>
              <w:jc w:val="center"/>
            </w:pPr>
            <w:r>
              <w:t xml:space="preserve">0.285</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(0.028)</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Wave 2023</w:t>
            </w:r>
          </w:p>
          <w:p>
            <w:pPr>
              <w:pStyle w:val="Compact"/>
              <w:jc w:val="center"/>
            </w:pPr>
            <w:r>
              <w:t xml:space="preserve">0.284</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Wave</w:t>
            </w:r>
          </w:p>
          <w:p>
            <w:pPr>
              <w:pStyle w:val="Compact"/>
              <w:jc w:val="center"/>
            </w:pPr>
            <w:r>
              <w:t xml:space="preserve"> </w:t>
            </w:r>
          </w:p>
          <w:p>
            <w:pPr>
              <w:pStyle w:val="Compact"/>
              <w:jc w:val="center"/>
            </w:pPr>
            <w:r>
              <w:t xml:space="preserve">-0.121</w:t>
            </w:r>
            <w:r>
              <w:t xml:space="preserve">***</w:t>
            </w:r>
          </w:p>
          <w:p>
            <w:pPr>
              <w:pStyle w:val="Compact"/>
              <w:jc w:val="center"/>
            </w:pPr>
            <w:r>
              <w:t xml:space="preserve">-0.125</w:t>
            </w:r>
            <w:r>
              <w:t xml:space="preserve">***</w:t>
            </w:r>
          </w:p>
          <w:p>
            <w:pPr>
              <w:pStyle w:val="Compact"/>
              <w:jc w:val="center"/>
            </w:pPr>
            <w:r>
              <w:t xml:space="preserve">-0.128</w:t>
            </w:r>
            <w:r>
              <w:t xml:space="preserve">***</w:t>
            </w:r>
          </w:p>
          <w:p>
            <w:pPr>
              <w:pStyle w:val="Compact"/>
              <w:jc w:val="center"/>
            </w:pPr>
            <w:r>
              <w:t xml:space="preserve">-0.128</w:t>
            </w:r>
            <w:r>
              <w:t xml:space="preserve">***</w:t>
            </w:r>
          </w:p>
          <w:p>
            <w:pPr>
              <w:pStyle w:val="Compact"/>
              <w:jc w:val="center"/>
            </w:pPr>
            <w:r>
              <w:t xml:space="preserve">-0.128</w:t>
            </w:r>
            <w:r>
              <w:t xml:space="preserve">***</w:t>
            </w:r>
          </w:p>
          <w:p>
            <w:pPr>
              <w:pStyle w:val="Compact"/>
              <w:jc w:val="center"/>
            </w:pPr>
            <w:r>
              <w:t xml:space="preserve">-0.129</w:t>
            </w:r>
            <w:r>
              <w:t xml:space="preserve">***</w:t>
            </w:r>
          </w:p>
          <w:p>
            <w:pPr>
              <w:pStyle w:val="Compact"/>
              <w:jc w:val="center"/>
            </w:pPr>
            <w:r>
              <w:t xml:space="preserve"> </w:t>
            </w:r>
          </w:p>
          <w:p>
            <w:pPr>
              <w:pStyle w:val="Compact"/>
              <w:jc w:val="center"/>
            </w:pPr>
            <w:r>
              <w:t xml:space="preserve"> </w:t>
            </w:r>
          </w:p>
          <w:p>
            <w:pPr>
              <w:pStyle w:val="Compact"/>
              <w:jc w:val="center"/>
            </w:pPr>
            <w:r>
              <w:t xml:space="preserve">(0.022)</w:t>
            </w:r>
          </w:p>
          <w:p>
            <w:pPr>
              <w:pStyle w:val="Compact"/>
              <w:jc w:val="center"/>
            </w:pPr>
            <w:r>
              <w:t xml:space="preserve">(0.022)</w:t>
            </w:r>
          </w:p>
          <w:p>
            <w:pPr>
              <w:pStyle w:val="Compact"/>
              <w:jc w:val="center"/>
            </w:pPr>
            <w:r>
              <w:t xml:space="preserve">(0.022)</w:t>
            </w:r>
          </w:p>
          <w:p>
            <w:pPr>
              <w:pStyle w:val="Compact"/>
              <w:jc w:val="center"/>
            </w:pPr>
            <w:r>
              <w:t xml:space="preserve">(0.022)</w:t>
            </w:r>
          </w:p>
          <w:p>
            <w:pPr>
              <w:pStyle w:val="Compact"/>
              <w:jc w:val="center"/>
            </w:pPr>
            <w:r>
              <w:t xml:space="preserve">(0.022)</w:t>
            </w:r>
          </w:p>
          <w:p>
            <w:pPr>
              <w:pStyle w:val="Compact"/>
              <w:jc w:val="center"/>
            </w:pPr>
            <w:r>
              <w:t xml:space="preserve">(0.022)</w:t>
            </w:r>
          </w:p>
          <w:p>
            <w:pPr>
              <w:pStyle w:val="Compact"/>
              <w:jc w:val="center"/>
            </w:pPr>
            <w:r>
              <w:t xml:space="preserve">Wave^2</w:t>
            </w:r>
          </w:p>
          <w:p>
            <w:pPr>
              <w:pStyle w:val="Compact"/>
              <w:jc w:val="center"/>
            </w:pPr>
            <w:r>
              <w:t xml:space="preserve"> </w:t>
            </w:r>
          </w:p>
          <w:p>
            <w:pPr>
              <w:pStyle w:val="Compact"/>
              <w:jc w:val="center"/>
            </w:pPr>
            <w:r>
              <w:t xml:space="preserve">0.028</w:t>
            </w:r>
            <w:r>
              <w:t xml:space="preserve">***</w:t>
            </w:r>
          </w:p>
          <w:p>
            <w:pPr>
              <w:pStyle w:val="Compact"/>
              <w:jc w:val="center"/>
            </w:pPr>
            <w:r>
              <w:t xml:space="preserve">0.028</w:t>
            </w:r>
            <w:r>
              <w:t xml:space="preserve">***</w:t>
            </w:r>
          </w:p>
          <w:p>
            <w:pPr>
              <w:pStyle w:val="Compact"/>
              <w:jc w:val="center"/>
            </w:pPr>
            <w:r>
              <w:t xml:space="preserve">0.029</w:t>
            </w:r>
            <w:r>
              <w:t xml:space="preserve">***</w:t>
            </w:r>
          </w:p>
          <w:p>
            <w:pPr>
              <w:pStyle w:val="Compact"/>
              <w:jc w:val="center"/>
            </w:pPr>
            <w:r>
              <w:t xml:space="preserve">0.029</w:t>
            </w:r>
            <w:r>
              <w:t xml:space="preserve">***</w:t>
            </w:r>
          </w:p>
          <w:p>
            <w:pPr>
              <w:pStyle w:val="Compact"/>
              <w:jc w:val="center"/>
            </w:pPr>
            <w:r>
              <w:t xml:space="preserve">0.029</w:t>
            </w:r>
            <w:r>
              <w:t xml:space="preserve">***</w:t>
            </w:r>
          </w:p>
          <w:p>
            <w:pPr>
              <w:pStyle w:val="Compact"/>
              <w:jc w:val="center"/>
            </w:pPr>
            <w:r>
              <w:t xml:space="preserve">0.029</w:t>
            </w:r>
            <w:r>
              <w:t xml:space="preserve">***</w:t>
            </w:r>
          </w:p>
          <w:p>
            <w:pPr>
              <w:pStyle w:val="Compact"/>
              <w:jc w:val="center"/>
            </w:pPr>
            <w:r>
              <w:t xml:space="preserve"> </w:t>
            </w:r>
          </w:p>
          <w:p>
            <w:pPr>
              <w:pStyle w:val="Compact"/>
              <w:jc w:val="center"/>
            </w:pPr>
            <w:r>
              <w:t xml:space="preserve"> </w:t>
            </w:r>
          </w:p>
          <w:p>
            <w:pPr>
              <w:pStyle w:val="Compact"/>
              <w:jc w:val="center"/>
            </w:pPr>
            <w:r>
              <w:t xml:space="preserve">(0.003)</w:t>
            </w:r>
          </w:p>
          <w:p>
            <w:pPr>
              <w:pStyle w:val="Compact"/>
              <w:jc w:val="center"/>
            </w:pPr>
            <w:r>
              <w:t xml:space="preserve">(0.003)</w:t>
            </w:r>
          </w:p>
          <w:p>
            <w:pPr>
              <w:pStyle w:val="Compact"/>
              <w:jc w:val="center"/>
            </w:pPr>
            <w:r>
              <w:t xml:space="preserve">(0.003)</w:t>
            </w:r>
          </w:p>
          <w:p>
            <w:pPr>
              <w:pStyle w:val="Compact"/>
              <w:jc w:val="center"/>
            </w:pPr>
            <w:r>
              <w:t xml:space="preserve">(0.003)</w:t>
            </w:r>
          </w:p>
          <w:p>
            <w:pPr>
              <w:pStyle w:val="Compact"/>
              <w:jc w:val="center"/>
            </w:pPr>
            <w:r>
              <w:t xml:space="preserve">(0.003)</w:t>
            </w:r>
          </w:p>
          <w:p>
            <w:pPr>
              <w:pStyle w:val="Compact"/>
              <w:jc w:val="center"/>
            </w:pPr>
            <w:r>
              <w:t xml:space="preserve">(0.003)</w:t>
            </w:r>
          </w:p>
          <w:p>
            <w:pPr>
              <w:pStyle w:val="Compact"/>
              <w:jc w:val="center"/>
            </w:pPr>
            <w:r>
              <w:t xml:space="preserve">Perception inequality (WE)</w:t>
            </w:r>
          </w:p>
          <w:p>
            <w:pPr>
              <w:pStyle w:val="Compact"/>
              <w:jc w:val="center"/>
            </w:pPr>
            <w:r>
              <w:t xml:space="preserve"> </w:t>
            </w:r>
          </w:p>
          <w:p>
            <w:pPr>
              <w:pStyle w:val="Compact"/>
              <w:jc w:val="center"/>
            </w:pPr>
            <w:r>
              <w:t xml:space="preserve"> </w:t>
            </w:r>
          </w:p>
          <w:p>
            <w:pPr>
              <w:pStyle w:val="Compact"/>
              <w:jc w:val="center"/>
            </w:pPr>
            <w:r>
              <w:t xml:space="preserve">-0.039</w:t>
            </w:r>
            <w:r>
              <w:t xml:space="preserve">***</w:t>
            </w:r>
          </w:p>
          <w:p>
            <w:pPr>
              <w:pStyle w:val="Compact"/>
              <w:jc w:val="center"/>
            </w:pPr>
            <w:r>
              <w:t xml:space="preserve">-0.034</w:t>
            </w:r>
            <w:r>
              <w:t xml:space="preserve">***</w:t>
            </w:r>
          </w:p>
          <w:p>
            <w:pPr>
              <w:pStyle w:val="Compact"/>
              <w:jc w:val="center"/>
            </w:pPr>
            <w:r>
              <w:t xml:space="preserve">-0.034</w:t>
            </w:r>
            <w:r>
              <w:t xml:space="preserve">***</w:t>
            </w:r>
          </w:p>
          <w:p>
            <w:pPr>
              <w:pStyle w:val="Compact"/>
              <w:jc w:val="center"/>
            </w:pPr>
            <w:r>
              <w:t xml:space="preserve">-0.034</w:t>
            </w:r>
            <w:r>
              <w:t xml:space="preserve">***</w:t>
            </w:r>
          </w:p>
          <w:p>
            <w:pPr>
              <w:pStyle w:val="Compact"/>
              <w:jc w:val="center"/>
            </w:pPr>
            <w:r>
              <w:t xml:space="preserve">-0.034</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(0.010)</w:t>
            </w:r>
          </w:p>
          <w:p>
            <w:pPr>
              <w:pStyle w:val="Compact"/>
              <w:jc w:val="center"/>
            </w:pPr>
            <w:r>
              <w:t xml:space="preserve">(0.010)</w:t>
            </w:r>
          </w:p>
          <w:p>
            <w:pPr>
              <w:pStyle w:val="Compact"/>
              <w:jc w:val="center"/>
            </w:pPr>
            <w:r>
              <w:t xml:space="preserve">(0.010)</w:t>
            </w:r>
          </w:p>
          <w:p>
            <w:pPr>
              <w:pStyle w:val="Compact"/>
              <w:jc w:val="center"/>
            </w:pPr>
            <w:r>
              <w:t xml:space="preserve">(0.010)</w:t>
            </w:r>
          </w:p>
          <w:p>
            <w:pPr>
              <w:pStyle w:val="Compact"/>
              <w:jc w:val="center"/>
            </w:pPr>
            <w:r>
              <w:t xml:space="preserve">(0.010)</w:t>
            </w:r>
          </w:p>
          <w:p>
            <w:pPr>
              <w:pStyle w:val="Compact"/>
              <w:jc w:val="center"/>
            </w:pPr>
            <w:r>
              <w:t xml:space="preserve">Merit: Effort (WE)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0.070</w:t>
            </w:r>
            <w:r>
              <w:t xml:space="preserve">***</w:t>
            </w:r>
          </w:p>
          <w:p>
            <w:pPr>
              <w:pStyle w:val="Compact"/>
              <w:jc w:val="center"/>
            </w:pPr>
            <w:r>
              <w:t xml:space="preserve">0.070</w:t>
            </w:r>
            <w:r>
              <w:t xml:space="preserve">***</w:t>
            </w:r>
          </w:p>
          <w:p>
            <w:pPr>
              <w:pStyle w:val="Compact"/>
              <w:jc w:val="center"/>
            </w:pPr>
            <w:r>
              <w:t xml:space="preserve">0.069</w:t>
            </w:r>
            <w:r>
              <w:t xml:space="preserve">***</w:t>
            </w:r>
          </w:p>
          <w:p>
            <w:pPr>
              <w:pStyle w:val="Compact"/>
              <w:jc w:val="center"/>
            </w:pPr>
            <w:r>
              <w:t xml:space="preserve">0.069</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(0.012)</w:t>
            </w:r>
          </w:p>
          <w:p>
            <w:pPr>
              <w:pStyle w:val="Compact"/>
              <w:jc w:val="center"/>
            </w:pPr>
            <w:r>
              <w:t xml:space="preserve">(0.012)</w:t>
            </w:r>
          </w:p>
          <w:p>
            <w:pPr>
              <w:pStyle w:val="Compact"/>
              <w:jc w:val="center"/>
            </w:pPr>
            <w:r>
              <w:t xml:space="preserve">(0.012)</w:t>
            </w:r>
          </w:p>
          <w:p>
            <w:pPr>
              <w:pStyle w:val="Compact"/>
              <w:jc w:val="center"/>
            </w:pPr>
            <w:r>
              <w:t xml:space="preserve">(0.012)</w:t>
            </w:r>
          </w:p>
          <w:p>
            <w:pPr>
              <w:pStyle w:val="Compact"/>
              <w:jc w:val="center"/>
            </w:pPr>
            <w:r>
              <w:t xml:space="preserve">Merit: Talent (WE)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r>
              <w:t xml:space="preserve">*</w:t>
            </w:r>
          </w:p>
          <w:p>
            <w:pPr>
              <w:pStyle w:val="Compact"/>
              <w:jc w:val="center"/>
            </w:pPr>
            <w:r>
              <w:t xml:space="preserve">0.027</w:t>
            </w:r>
            <w:r>
              <w:t xml:space="preserve">*</w:t>
            </w:r>
          </w:p>
          <w:p>
            <w:pPr>
              <w:pStyle w:val="Compact"/>
              <w:jc w:val="center"/>
            </w:pPr>
            <w:r>
              <w:t xml:space="preserve">0.027</w:t>
            </w:r>
            <w:r>
              <w:t xml:space="preserve">*</w:t>
            </w:r>
          </w:p>
          <w:p>
            <w:pPr>
              <w:pStyle w:val="Compact"/>
              <w:jc w:val="center"/>
            </w:pPr>
            <w:r>
              <w:t xml:space="preserve">0.027</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(0.012)</w:t>
            </w:r>
          </w:p>
          <w:p>
            <w:pPr>
              <w:pStyle w:val="Compact"/>
              <w:jc w:val="center"/>
            </w:pPr>
            <w:r>
              <w:t xml:space="preserve">(0.012)</w:t>
            </w:r>
          </w:p>
          <w:p>
            <w:pPr>
              <w:pStyle w:val="Compact"/>
              <w:jc w:val="center"/>
            </w:pPr>
            <w:r>
              <w:t xml:space="preserve">(0.012)</w:t>
            </w:r>
          </w:p>
          <w:p>
            <w:pPr>
              <w:pStyle w:val="Compact"/>
              <w:jc w:val="center"/>
            </w:pPr>
            <w:r>
              <w:t xml:space="preserve">(0.012)</w:t>
            </w:r>
          </w:p>
          <w:p>
            <w:pPr>
              <w:pStyle w:val="Compact"/>
              <w:jc w:val="center"/>
            </w:pPr>
            <w:r>
              <w:t xml:space="preserve">Perception inequality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-0.042</w:t>
            </w:r>
            <w:r>
              <w:t xml:space="preserve">*</w:t>
            </w:r>
          </w:p>
          <w:p>
            <w:pPr>
              <w:pStyle w:val="Compact"/>
              <w:jc w:val="center"/>
            </w:pPr>
            <w:r>
              <w:t xml:space="preserve">-0.006</w:t>
            </w:r>
          </w:p>
          <w:p>
            <w:pPr>
              <w:pStyle w:val="Compact"/>
              <w:jc w:val="center"/>
            </w:pPr>
            <w:r>
              <w:t xml:space="preserve">-0.033</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(0.018)</w:t>
            </w:r>
          </w:p>
          <w:p>
            <w:pPr>
              <w:pStyle w:val="Compact"/>
              <w:jc w:val="center"/>
            </w:pPr>
            <w:r>
              <w:t xml:space="preserve">(0.018)</w:t>
            </w:r>
          </w:p>
          <w:p>
            <w:pPr>
              <w:pStyle w:val="Compact"/>
              <w:jc w:val="center"/>
            </w:pPr>
            <w:r>
              <w:t xml:space="preserve">(0.018)</w:t>
            </w:r>
          </w:p>
          <w:p>
            <w:pPr>
              <w:pStyle w:val="Compact"/>
              <w:jc w:val="center"/>
            </w:pPr>
            <w:r>
              <w:t xml:space="preserve">Merit: Effort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0.186</w:t>
            </w:r>
            <w:r>
              <w:t xml:space="preserve">***</w:t>
            </w:r>
          </w:p>
          <w:p>
            <w:pPr>
              <w:pStyle w:val="Compact"/>
              <w:jc w:val="center"/>
            </w:pPr>
            <w:r>
              <w:t xml:space="preserve">0.178</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(0.032)</w:t>
            </w:r>
          </w:p>
          <w:p>
            <w:pPr>
              <w:pStyle w:val="Compact"/>
              <w:jc w:val="center"/>
            </w:pPr>
            <w:r>
              <w:t xml:space="preserve">(0.031)</w:t>
            </w:r>
          </w:p>
          <w:p>
            <w:pPr>
              <w:pStyle w:val="Compact"/>
              <w:jc w:val="center"/>
            </w:pPr>
            <w:r>
              <w:t xml:space="preserve">Merit: Talent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0.040</w:t>
            </w:r>
          </w:p>
          <w:p>
            <w:pPr>
              <w:pStyle w:val="Compact"/>
              <w:jc w:val="center"/>
            </w:pPr>
            <w:r>
              <w:t xml:space="preserve">0.019</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(0.032)</w:t>
            </w:r>
          </w:p>
          <w:p>
            <w:pPr>
              <w:pStyle w:val="Compact"/>
              <w:jc w:val="center"/>
            </w:pPr>
            <w:r>
              <w:t xml:space="preserve">(0.031)</w:t>
            </w:r>
          </w:p>
          <w:p>
            <w:pPr>
              <w:pStyle w:val="Compact"/>
              <w:jc w:val="center"/>
            </w:pPr>
            <w:r>
              <w:t xml:space="preserve">Controls</w:t>
            </w:r>
          </w:p>
          <w:p>
            <w:pPr>
              <w:pStyle w:val="Compact"/>
              <w:jc w:val="center"/>
            </w:pPr>
            <w:r>
              <w:t xml:space="preserve">No</w:t>
            </w:r>
          </w:p>
          <w:p>
            <w:pPr>
              <w:pStyle w:val="Compact"/>
              <w:jc w:val="center"/>
            </w:pPr>
            <w:r>
              <w:t xml:space="preserve">No</w:t>
            </w:r>
          </w:p>
          <w:p>
            <w:pPr>
              <w:pStyle w:val="Compact"/>
              <w:jc w:val="center"/>
            </w:pPr>
            <w:r>
              <w:t xml:space="preserve">No</w:t>
            </w:r>
          </w:p>
          <w:p>
            <w:pPr>
              <w:pStyle w:val="Compact"/>
              <w:jc w:val="center"/>
            </w:pPr>
            <w:r>
              <w:t xml:space="preserve">No</w:t>
            </w:r>
          </w:p>
          <w:p>
            <w:pPr>
              <w:pStyle w:val="Compact"/>
              <w:jc w:val="center"/>
            </w:pPr>
            <w:r>
              <w:t xml:space="preserve">No</w:t>
            </w:r>
          </w:p>
          <w:p>
            <w:pPr>
              <w:pStyle w:val="Compact"/>
              <w:jc w:val="center"/>
            </w:pPr>
            <w:r>
              <w:t xml:space="preserve">No</w:t>
            </w:r>
          </w:p>
          <w:p>
            <w:pPr>
              <w:pStyle w:val="Compact"/>
              <w:jc w:val="center"/>
            </w:pPr>
            <w:r>
              <w:t xml:space="preserve">Yes</w:t>
            </w:r>
          </w:p>
          <w:p>
            <w:pPr>
              <w:pStyle w:val="Compact"/>
              <w:jc w:val="center"/>
            </w:pPr>
            <w:r>
              <w:t xml:space="preserve">BIC</w:t>
            </w:r>
          </w:p>
          <w:p>
            <w:pPr>
              <w:pStyle w:val="Compact"/>
              <w:jc w:val="center"/>
            </w:pPr>
            <w:r>
              <w:t xml:space="preserve">20780.594</w:t>
            </w:r>
          </w:p>
          <w:p>
            <w:pPr>
              <w:pStyle w:val="Compact"/>
              <w:jc w:val="center"/>
            </w:pPr>
            <w:r>
              <w:t xml:space="preserve">20780.617</w:t>
            </w:r>
          </w:p>
          <w:p>
            <w:pPr>
              <w:pStyle w:val="Compact"/>
              <w:jc w:val="center"/>
            </w:pPr>
            <w:r>
              <w:t xml:space="preserve">20781.113</w:t>
            </w:r>
          </w:p>
          <w:p>
            <w:pPr>
              <w:pStyle w:val="Compact"/>
              <w:jc w:val="center"/>
            </w:pPr>
            <w:r>
              <w:t xml:space="preserve">20726.753</w:t>
            </w:r>
          </w:p>
          <w:p>
            <w:pPr>
              <w:pStyle w:val="Compact"/>
              <w:jc w:val="center"/>
            </w:pPr>
            <w:r>
              <w:t xml:space="preserve">20736.627</w:t>
            </w:r>
          </w:p>
          <w:p>
            <w:pPr>
              <w:pStyle w:val="Compact"/>
              <w:jc w:val="center"/>
            </w:pPr>
            <w:r>
              <w:t xml:space="preserve">20655.172</w:t>
            </w:r>
          </w:p>
          <w:p>
            <w:pPr>
              <w:pStyle w:val="Compact"/>
              <w:jc w:val="center"/>
            </w:pPr>
            <w:r>
              <w:t xml:space="preserve">20749.047</w:t>
            </w:r>
          </w:p>
          <w:p>
            <w:pPr>
              <w:pStyle w:val="Compact"/>
              <w:jc w:val="center"/>
            </w:pPr>
            <w:r>
              <w:t xml:space="preserve">Num. obs.</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Num. groups: idencuesta</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Var: idencuesta (Intercept)</w:t>
            </w:r>
          </w:p>
          <w:p>
            <w:pPr>
              <w:pStyle w:val="Compact"/>
              <w:jc w:val="center"/>
            </w:pPr>
            <w:r>
              <w:t xml:space="preserve">0.172</w:t>
            </w:r>
          </w:p>
          <w:p>
            <w:pPr>
              <w:pStyle w:val="Compact"/>
              <w:jc w:val="center"/>
            </w:pPr>
            <w:r>
              <w:t xml:space="preserve">0.223</w:t>
            </w:r>
          </w:p>
          <w:p>
            <w:pPr>
              <w:pStyle w:val="Compact"/>
              <w:jc w:val="center"/>
            </w:pPr>
            <w:r>
              <w:t xml:space="preserve">0.219</w:t>
            </w:r>
          </w:p>
          <w:p>
            <w:pPr>
              <w:pStyle w:val="Compact"/>
              <w:jc w:val="center"/>
            </w:pPr>
            <w:r>
              <w:t xml:space="preserve">0.209</w:t>
            </w:r>
          </w:p>
          <w:p>
            <w:pPr>
              <w:pStyle w:val="Compact"/>
              <w:jc w:val="center"/>
            </w:pPr>
            <w:r>
              <w:t xml:space="preserve">0.207</w:t>
            </w:r>
          </w:p>
          <w:p>
            <w:pPr>
              <w:pStyle w:val="Compact"/>
              <w:jc w:val="center"/>
            </w:pPr>
            <w:r>
              <w:t xml:space="preserve">0.182</w:t>
            </w:r>
          </w:p>
          <w:p>
            <w:pPr>
              <w:pStyle w:val="Compact"/>
              <w:jc w:val="center"/>
            </w:pPr>
            <w:r>
              <w:t xml:space="preserve">0.171</w:t>
            </w:r>
          </w:p>
          <w:p>
            <w:pPr>
              <w:pStyle w:val="Compact"/>
              <w:jc w:val="center"/>
            </w:pPr>
            <w:r>
              <w:t xml:space="preserve">Var: Residual</w:t>
            </w:r>
          </w:p>
          <w:p>
            <w:pPr>
              <w:pStyle w:val="Compact"/>
              <w:jc w:val="center"/>
            </w:pPr>
            <w:r>
              <w:t xml:space="preserve">0.530</w:t>
            </w:r>
          </w:p>
          <w:p>
            <w:pPr>
              <w:pStyle w:val="Compact"/>
              <w:jc w:val="center"/>
            </w:pPr>
            <w:r>
              <w:t xml:space="preserve">0.499</w:t>
            </w:r>
          </w:p>
          <w:p>
            <w:pPr>
              <w:pStyle w:val="Compact"/>
              <w:jc w:val="center"/>
            </w:pPr>
            <w:r>
              <w:t xml:space="preserve">0.498</w:t>
            </w:r>
          </w:p>
          <w:p>
            <w:pPr>
              <w:pStyle w:val="Compact"/>
              <w:jc w:val="center"/>
            </w:pPr>
            <w:r>
              <w:t xml:space="preserve">0.495</w:t>
            </w:r>
          </w:p>
          <w:p>
            <w:pPr>
              <w:pStyle w:val="Compact"/>
              <w:jc w:val="center"/>
            </w:pPr>
            <w:r>
              <w:t xml:space="preserve">0.495</w:t>
            </w:r>
          </w:p>
          <w:p>
            <w:pPr>
              <w:pStyle w:val="Compact"/>
              <w:jc w:val="center"/>
            </w:pPr>
            <w:r>
              <w:t xml:space="preserve">0.495</w:t>
            </w:r>
          </w:p>
          <w:p>
            <w:pPr>
              <w:pStyle w:val="Compact"/>
              <w:jc w:val="center"/>
            </w:pPr>
            <w:r>
              <w:t xml:space="preserve">0.495</w:t>
            </w:r>
          </w:p>
          <w:p>
            <w:pPr>
              <w:pStyle w:val="Compact"/>
              <w:jc w:val="center"/>
            </w:pPr>
            <w:r>
              <w:t xml:space="preserve">Var: idencuesta ola_num</w:t>
            </w:r>
          </w:p>
          <w:p>
            <w:pPr>
              <w:pStyle w:val="Compact"/>
              <w:jc w:val="center"/>
            </w:pPr>
            <w:r>
              <w:t xml:space="preserve"> </w:t>
            </w:r>
          </w:p>
          <w:p>
            <w:pPr>
              <w:pStyle w:val="Compact"/>
              <w:jc w:val="center"/>
            </w:pPr>
            <w:r>
              <w:t xml:space="preserve">0.011</w:t>
            </w:r>
          </w:p>
          <w:p>
            <w:pPr>
              <w:pStyle w:val="Compact"/>
              <w:jc w:val="center"/>
            </w:pPr>
            <w:r>
              <w:t xml:space="preserve">0.010</w:t>
            </w:r>
          </w:p>
          <w:p>
            <w:pPr>
              <w:pStyle w:val="Compact"/>
              <w:jc w:val="center"/>
            </w:pPr>
            <w:r>
              <w:t xml:space="preserve">0.009</w:t>
            </w:r>
          </w:p>
          <w:p>
            <w:pPr>
              <w:pStyle w:val="Compact"/>
              <w:jc w:val="center"/>
            </w:pPr>
            <w:r>
              <w:t xml:space="preserve">0.009</w:t>
            </w:r>
          </w:p>
          <w:p>
            <w:pPr>
              <w:pStyle w:val="Compact"/>
              <w:jc w:val="center"/>
            </w:pPr>
            <w:r>
              <w:t xml:space="preserve">0.009</w:t>
            </w:r>
          </w:p>
          <w:p>
            <w:pPr>
              <w:pStyle w:val="Compact"/>
              <w:jc w:val="center"/>
            </w:pPr>
            <w:r>
              <w:t xml:space="preserve">0.009</w:t>
            </w:r>
          </w:p>
          <w:p>
            <w:pPr>
              <w:pStyle w:val="Compact"/>
              <w:jc w:val="center"/>
            </w:pPr>
            <w:r>
              <w:t xml:space="preserve">Cov: idencuesta (Intercept) ola_num</w:t>
            </w:r>
          </w:p>
          <w:p>
            <w:pPr>
              <w:pStyle w:val="Compact"/>
              <w:jc w:val="center"/>
            </w:pPr>
            <w:r>
              <w:t xml:space="preserve"> </w:t>
            </w:r>
          </w:p>
          <w:p>
            <w:pPr>
              <w:pStyle w:val="Compact"/>
              <w:jc w:val="center"/>
            </w:pPr>
            <w:r>
              <w:t xml:space="preserve">-0.025</w:t>
            </w:r>
          </w:p>
          <w:p>
            <w:pPr>
              <w:pStyle w:val="Compact"/>
              <w:jc w:val="center"/>
            </w:pPr>
            <w:r>
              <w:t xml:space="preserve">-0.024</w:t>
            </w:r>
          </w:p>
          <w:p>
            <w:pPr>
              <w:pStyle w:val="Compact"/>
              <w:jc w:val="center"/>
            </w:pPr>
            <w:r>
              <w:t xml:space="preserve">-0.021</w:t>
            </w:r>
          </w:p>
          <w:p>
            <w:pPr>
              <w:pStyle w:val="Compact"/>
              <w:jc w:val="center"/>
            </w:pPr>
            <w:r>
              <w:t xml:space="preserve">-0.020</w:t>
            </w:r>
          </w:p>
          <w:p>
            <w:pPr>
              <w:pStyle w:val="Compact"/>
              <w:jc w:val="center"/>
            </w:pPr>
            <w:r>
              <w:t xml:space="preserve">-0.019</w:t>
            </w:r>
          </w:p>
          <w:p>
            <w:pPr>
              <w:pStyle w:val="Compact"/>
              <w:jc w:val="center"/>
            </w:pPr>
            <w:r>
              <w:t xml:space="preserve">-0.019</w:t>
            </w:r>
          </w:p>
          <w:p>
            <w:pPr>
              <w:pStyle w:val="Compact"/>
              <w:jc w:val="center"/>
            </w:pPr>
            <w:r>
              <w:t xml:space="preserve">Note: Cells contain regression coefficients with standard errors in parentheses.</w:t>
            </w:r>
            <w:r>
              <w:t xml:space="preserve"> </w:t>
            </w:r>
            <w:r>
              <w:t xml:space="preserve">***</w:t>
            </w:r>
            <w:r>
              <w:t xml:space="preserve">p &lt; 0.001;</w:t>
            </w:r>
            <w:r>
              <w:t xml:space="preserve"> </w:t>
            </w:r>
            <w:r>
              <w:t xml:space="preserve">**</w:t>
            </w:r>
            <w:r>
              <w:t xml:space="preserve">p &lt; 0.01;</w:t>
            </w:r>
            <w:r>
              <w:t xml:space="preserve"> </w:t>
            </w:r>
            <w:r>
              <w:t xml:space="preserve">*</w:t>
            </w:r>
            <w:r>
              <w:t xml:space="preserve">p &lt; 0.05.</w:t>
            </w:r>
          </w:p>
          <w:bookmarkEnd w:id="50"/>
        </w:tc>
      </w:tr>
    </w:tbl>
    <w:p>
      <w:pPr>
        <w:pStyle w:val="BodyText"/>
      </w:pPr>
      <w:r>
        <w:t xml:space="preserve">According to Model 1, which includes the survey waves to capture intertemporal variations in the dependent variable, there is a decrease in 2017 (</w:t>
      </w:r>
      <m:oMath>
        <m:r>
          <m:t>β</m:t>
        </m:r>
      </m:oMath>
      <w:r>
        <w:t xml:space="preserve"> </w:t>
      </w:r>
      <w:r>
        <w:t xml:space="preserve">= -0.167,</w:t>
      </w:r>
      <w:r>
        <w:t xml:space="preserve"> </w:t>
      </w:r>
      <m:oMath>
        <m:r>
          <m:t>p</m:t>
        </m:r>
      </m:oMath>
      <w:r>
        <w:t xml:space="preserve"> </w:t>
      </w:r>
      <w:r>
        <w:t xml:space="preserve">&lt; .001) relative to 2016, and similarly in 2018 (</w:t>
      </w:r>
      <m:oMath>
        <m:r>
          <m:t>β</m:t>
        </m:r>
      </m:oMath>
      <w:r>
        <w:t xml:space="preserve"> </w:t>
      </w:r>
      <w:r>
        <w:t xml:space="preserve">= -0.025,</w:t>
      </w:r>
      <w:r>
        <w:t xml:space="preserve"> </w:t>
      </w:r>
      <m:oMath>
        <m:r>
          <m:t>p</m:t>
        </m:r>
      </m:oMath>
      <w:r>
        <w:t xml:space="preserve"> </w:t>
      </w:r>
      <w:r>
        <w:t xml:space="preserve">&gt; .05) and 2019 (</w:t>
      </w:r>
      <m:oMath>
        <m:r>
          <m:t>β</m:t>
        </m:r>
      </m:oMath>
      <w:r>
        <w:t xml:space="preserve"> </w:t>
      </w:r>
      <w:r>
        <w:t xml:space="preserve">= -0.046,</w:t>
      </w:r>
      <w:r>
        <w:t xml:space="preserve"> </w:t>
      </w:r>
      <m:oMath>
        <m:r>
          <m:t>p</m:t>
        </m:r>
      </m:oMath>
      <w:r>
        <w:t xml:space="preserve"> </w:t>
      </w:r>
      <w:r>
        <w:t xml:space="preserve">&gt; .05), although the latter effects are not statistically significant. In contrast, in the more recent waves of 2022 and 2023, there is a statistically significant increase in market justice preferences (</w:t>
      </w:r>
      <m:oMath>
        <m:r>
          <m:t>β</m:t>
        </m:r>
      </m:oMath>
      <w:r>
        <w:t xml:space="preserve"> </w:t>
      </w:r>
      <w:r>
        <w:t xml:space="preserve">= 0.285,</w:t>
      </w:r>
      <w:r>
        <w:t xml:space="preserve"> </w:t>
      </w:r>
      <m:oMath>
        <m:r>
          <m:t>p</m:t>
        </m:r>
      </m:oMath>
      <w:r>
        <w:t xml:space="preserve"> </w:t>
      </w:r>
      <w:r>
        <w:t xml:space="preserve">&lt; .001;</w:t>
      </w:r>
      <w:r>
        <w:t xml:space="preserve"> </w:t>
      </w:r>
      <m:oMath>
        <m:r>
          <m:t>β</m:t>
        </m:r>
      </m:oMath>
      <w:r>
        <w:t xml:space="preserve"> </w:t>
      </w:r>
      <w:r>
        <w:t xml:space="preserve">= 0.284,</w:t>
      </w:r>
      <w:r>
        <w:t xml:space="preserve"> </w:t>
      </w:r>
      <m:oMath>
        <m:r>
          <m:t>p</m:t>
        </m:r>
      </m:oMath>
      <w:r>
        <w:t xml:space="preserve"> </w:t>
      </w:r>
      <w:r>
        <w:t xml:space="preserve">&lt; .001), suggesting a non-linear effect. To model this trajectory over time, Model 2 incorporates time (survey waves) as a continuous variable, along with its quadratic term, representing the non-linear association initially observed in Model 1. While the linear term (survey wave) shows a negative association, reflecting an overall decline in market preferences over time, the positive quadratic term indicates a reversal of this pattern in the final measurement points.</w:t>
      </w:r>
    </w:p>
    <w:p>
      <w:pPr>
        <w:pStyle w:val="BodyText"/>
      </w:pPr>
      <w:r>
        <w:t xml:space="preserve">Models 3 and 4 incorporate the within-group effects (WE) of the primary independent variables, capturing how individual changes in these variables over time shape the dependent variable. The results in Model 3 suggest that the within effect of perceived economic inequality is negative and statistically significant (</w:t>
      </w:r>
      <m:oMath>
        <m:r>
          <m:t>p</m:t>
        </m:r>
      </m:oMath>
      <w:r>
        <w:t xml:space="preserve"> </w:t>
      </w:r>
      <w:r>
        <w:t xml:space="preserve">&lt; .001). Specifically, each one-point increase in an individual’s perception of economic inequality between waves is associated with a 0.034 point decrease in market justice preferences. Model 4 shows that meritocratic beliefs operate in the opposite direction. An upward shift in the perception that effort is rewarded exerts a positive within effect (</w:t>
      </w:r>
      <m:oMath>
        <m:r>
          <m:t>β</m:t>
        </m:r>
      </m:oMath>
      <w:r>
        <w:t xml:space="preserve"> </w:t>
      </w:r>
      <w:r>
        <w:t xml:space="preserve">= 0.071,</w:t>
      </w:r>
      <w:r>
        <w:t xml:space="preserve"> </w:t>
      </w:r>
      <m:oMath>
        <m:r>
          <m:t>p</m:t>
        </m:r>
      </m:oMath>
      <w:r>
        <w:t xml:space="preserve"> </w:t>
      </w:r>
      <w:r>
        <w:t xml:space="preserve">&lt; .001), and a parallel increase in the perception that intelligence and ability are rewarded is likewise associated with higher market-justice preferences (</w:t>
      </w:r>
      <m:oMath>
        <m:r>
          <m:t>β</m:t>
        </m:r>
      </m:oMath>
      <w:r>
        <w:t xml:space="preserve"> </w:t>
      </w:r>
      <w:r>
        <w:t xml:space="preserve">= 0.028,</w:t>
      </w:r>
      <w:r>
        <w:t xml:space="preserve"> </w:t>
      </w:r>
      <m:oMath>
        <m:r>
          <m:t>p</m:t>
        </m:r>
      </m:oMath>
      <w:r>
        <w:t xml:space="preserve"> </w:t>
      </w:r>
      <w:r>
        <w:t xml:space="preserve">&lt; .05). Taken together, these results suggest that individuals who increasingly perceive meritocracy—whether through effort or talent—tend to hold stronger market justice preferences.</w:t>
      </w:r>
    </w:p>
    <w:p>
      <w:pPr>
        <w:pStyle w:val="BodyText"/>
      </w:pPr>
      <w:r>
        <w:t xml:space="preserve">When examining the between-group effects (BE) in Model 5 and 6, which capture differences between individuals in the average of the main variables, a similar pattern emerges. Individuals who perceive higher levels of economic inequality tend to prefer less market justice (</w:t>
      </w:r>
      <m:oMath>
        <m:r>
          <m:t>β</m:t>
        </m:r>
      </m:oMath>
      <w:r>
        <w:t xml:space="preserve"> </w:t>
      </w:r>
      <w:r>
        <w:t xml:space="preserve">= -0.042,</w:t>
      </w:r>
      <w:r>
        <w:t xml:space="preserve"> </w:t>
      </w:r>
      <m:oMath>
        <m:r>
          <m:t>p</m:t>
        </m:r>
      </m:oMath>
      <w:r>
        <w:t xml:space="preserve"> </w:t>
      </w:r>
      <w:r>
        <w:t xml:space="preserve">&lt; .05). In Model 6, the meritocratic perception that effort is rewarded is positively associated with market justice preferences (</w:t>
      </w:r>
      <m:oMath>
        <m:r>
          <m:t>β</m:t>
        </m:r>
      </m:oMath>
      <w:r>
        <w:t xml:space="preserve"> </w:t>
      </w:r>
      <w:r>
        <w:t xml:space="preserve">= 0.186,</w:t>
      </w:r>
      <w:r>
        <w:t xml:space="preserve"> </w:t>
      </w:r>
      <m:oMath>
        <m:r>
          <m:t>p</m:t>
        </m:r>
      </m:oMath>
      <w:r>
        <w:t xml:space="preserve"> </w:t>
      </w:r>
      <w:r>
        <w:t xml:space="preserve">&lt; .001), whereas the perception that talent is rewarded shows a positive but non-significant coefficient (</w:t>
      </w:r>
      <m:oMath>
        <m:r>
          <m:t>β</m:t>
        </m:r>
      </m:oMath>
      <w:r>
        <w:t xml:space="preserve"> </w:t>
      </w:r>
      <w:r>
        <w:t xml:space="preserve">= 0.040). Notably, once the meritocratic variables are included, the negative coefficient for perceived economic inequality remains but is no longer statistically significant.</w:t>
      </w:r>
    </w:p>
    <w:p>
      <w:pPr>
        <w:pStyle w:val="BodyText"/>
      </w:pPr>
      <w:r>
        <w:t xml:space="preserve">Model 7 adds the control variables. With the exception of the between-effect for perceived economic inequality—which becomes nonsignificant—the within- and between-effects of the principal predictors retain both their direction and statistical significance, confirming the robustness of the associations (see Supplementary Material for effects of control variables).</w:t>
      </w:r>
    </w:p>
    <w:tbl>
      <w:tblPr>
        <w:tblStyle w:val="Table"/>
        <w:tblW w:type="pct" w:w="5000"/>
        <w:tblLayout w:type="fixed"/>
        <w:tblLook w:firstRow="0" w:lastRow="0" w:firstColumn="0" w:lastColumn="0" w:noHBand="0" w:noVBand="0" w:val="0000"/>
      </w:tblPr>
      <w:tblGrid>
        <w:gridCol w:w="7920"/>
      </w:tblGrid>
      <w:tr>
        <w:tc>
          <w:tcPr/>
          <w:bookmarkStart w:id="51" w:name="tbl-interactions1"/>
          <w:p>
            <w:pPr>
              <w:jc w:val="center"/>
            </w:pPr>
            <w:pPr>
              <w:jc w:val="start"/>
              <w:spacing w:before="200"/>
              <w:pStyle w:val="ImageCaption"/>
            </w:pPr>
            <w:r>
              <w:t xml:space="preserve">Table 4: Interactions for meritocracy, perceived economic inequality and market justice preferences</w:t>
            </w:r>
          </w:p>
          <w:p>
            <w:pPr>
              <w:pStyle w:val="Compact"/>
              <w:jc w:val="center"/>
            </w:pPr>
            <w:r>
              <w:t xml:space="preserve"> </w:t>
            </w:r>
          </w:p>
          <w:p>
            <w:pPr>
              <w:pStyle w:val="Compact"/>
              <w:jc w:val="center"/>
            </w:pPr>
            <w:r>
              <w:t xml:space="preserve">Model 8</w:t>
            </w:r>
          </w:p>
          <w:p>
            <w:pPr>
              <w:pStyle w:val="Compact"/>
              <w:jc w:val="center"/>
            </w:pPr>
            <w:r>
              <w:t xml:space="preserve">Model 9</w:t>
            </w:r>
          </w:p>
          <w:p>
            <w:pPr>
              <w:pStyle w:val="Compact"/>
              <w:jc w:val="center"/>
            </w:pPr>
            <w:r>
              <w:t xml:space="preserve">Model 10</w:t>
            </w:r>
          </w:p>
          <w:p>
            <w:pPr>
              <w:pStyle w:val="Compact"/>
              <w:jc w:val="center"/>
            </w:pPr>
            <w:r>
              <w:t xml:space="preserve">Model 11</w:t>
            </w:r>
          </w:p>
          <w:p>
            <w:pPr>
              <w:pStyle w:val="Compact"/>
              <w:jc w:val="center"/>
            </w:pPr>
            <w:r>
              <w:t xml:space="preserve">Intercept</w:t>
            </w:r>
          </w:p>
          <w:p>
            <w:pPr>
              <w:pStyle w:val="Compact"/>
              <w:jc w:val="center"/>
            </w:pPr>
            <w:r>
              <w:t xml:space="preserve">1.561</w:t>
            </w:r>
            <w:r>
              <w:t xml:space="preserve">***</w:t>
            </w:r>
          </w:p>
          <w:p>
            <w:pPr>
              <w:pStyle w:val="Compact"/>
              <w:jc w:val="center"/>
            </w:pPr>
            <w:r>
              <w:t xml:space="preserve">1.555</w:t>
            </w:r>
            <w:r>
              <w:t xml:space="preserve">***</w:t>
            </w:r>
          </w:p>
          <w:p>
            <w:pPr>
              <w:pStyle w:val="Compact"/>
              <w:jc w:val="center"/>
            </w:pPr>
            <w:r>
              <w:t xml:space="preserve">2.187</w:t>
            </w:r>
            <w:r>
              <w:t xml:space="preserve">***</w:t>
            </w:r>
          </w:p>
          <w:p>
            <w:pPr>
              <w:pStyle w:val="Compact"/>
              <w:jc w:val="center"/>
            </w:pPr>
            <w:r>
              <w:t xml:space="preserve">2.340</w:t>
            </w:r>
            <w:r>
              <w:t xml:space="preserve">***</w:t>
            </w:r>
          </w:p>
          <w:p>
            <w:pPr>
              <w:pStyle w:val="Compact"/>
              <w:jc w:val="center"/>
            </w:pPr>
            <w:r>
              <w:t xml:space="preserve"> </w:t>
            </w:r>
          </w:p>
          <w:p>
            <w:pPr>
              <w:pStyle w:val="Compact"/>
              <w:jc w:val="center"/>
            </w:pPr>
            <w:r>
              <w:t xml:space="preserve">(0.115)</w:t>
            </w:r>
          </w:p>
          <w:p>
            <w:pPr>
              <w:pStyle w:val="Compact"/>
              <w:jc w:val="center"/>
            </w:pPr>
            <w:r>
              <w:t xml:space="preserve">(0.115)</w:t>
            </w:r>
          </w:p>
          <w:p>
            <w:pPr>
              <w:pStyle w:val="Compact"/>
              <w:jc w:val="center"/>
            </w:pPr>
            <w:r>
              <w:t xml:space="preserve">(0.265)</w:t>
            </w:r>
          </w:p>
          <w:p>
            <w:pPr>
              <w:pStyle w:val="Compact"/>
              <w:jc w:val="center"/>
            </w:pPr>
            <w:r>
              <w:t xml:space="preserve">(0.281)</w:t>
            </w:r>
          </w:p>
          <w:p>
            <w:pPr>
              <w:pStyle w:val="Compact"/>
              <w:jc w:val="center"/>
            </w:pPr>
            <w:r>
              <w:t xml:space="preserve">Merit: Effort (WE) x Perception inequality (WE)</w:t>
            </w:r>
          </w:p>
          <w:p>
            <w:pPr>
              <w:pStyle w:val="Compact"/>
              <w:jc w:val="center"/>
            </w:pPr>
            <w:r>
              <w:t xml:space="preserve">0.017</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(0.012)</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Merit: Talent (WE) x Perception inequality (WE)</w:t>
            </w:r>
          </w:p>
          <w:p>
            <w:pPr>
              <w:pStyle w:val="Compact"/>
              <w:jc w:val="center"/>
            </w:pPr>
            <w:r>
              <w:t xml:space="preserve"> </w:t>
            </w:r>
          </w:p>
          <w:p>
            <w:pPr>
              <w:pStyle w:val="Compact"/>
              <w:jc w:val="center"/>
            </w:pPr>
            <w:r>
              <w:t xml:space="preserve">0.011</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(0.012)</w:t>
            </w:r>
          </w:p>
          <w:p>
            <w:pPr>
              <w:pStyle w:val="Compact"/>
              <w:jc w:val="center"/>
            </w:pPr>
            <w:r>
              <w:t xml:space="preserve"> </w:t>
            </w:r>
          </w:p>
          <w:p>
            <w:pPr>
              <w:pStyle w:val="Compact"/>
              <w:jc w:val="center"/>
            </w:pPr>
            <w:r>
              <w:t xml:space="preserve"> </w:t>
            </w:r>
          </w:p>
          <w:p>
            <w:pPr>
              <w:pStyle w:val="Compact"/>
              <w:jc w:val="center"/>
            </w:pPr>
            <w:r>
              <w:t xml:space="preserve">Merit: Effort (BE) x Perception inequality (BE)</w:t>
            </w:r>
          </w:p>
          <w:p>
            <w:pPr>
              <w:pStyle w:val="Compact"/>
              <w:jc w:val="center"/>
            </w:pPr>
            <w:r>
              <w:t xml:space="preserve"> </w:t>
            </w:r>
          </w:p>
          <w:p>
            <w:pPr>
              <w:pStyle w:val="Compact"/>
              <w:jc w:val="center"/>
            </w:pPr>
            <w:r>
              <w:t xml:space="preserve"> </w:t>
            </w:r>
          </w:p>
          <w:p>
            <w:pPr>
              <w:pStyle w:val="Compact"/>
              <w:jc w:val="center"/>
            </w:pPr>
            <w:r>
              <w:t xml:space="preserve">0.072</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(0.028)</w:t>
            </w:r>
          </w:p>
          <w:p>
            <w:pPr>
              <w:pStyle w:val="Compact"/>
              <w:jc w:val="center"/>
            </w:pPr>
            <w:r>
              <w:t xml:space="preserve"> </w:t>
            </w:r>
          </w:p>
          <w:p>
            <w:pPr>
              <w:pStyle w:val="Compact"/>
              <w:jc w:val="center"/>
            </w:pPr>
            <w:r>
              <w:t xml:space="preserve">Merit: Talent (BE) x Perception inequality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0.082</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p>
          <w:p>
            <w:pPr>
              <w:pStyle w:val="Compact"/>
              <w:jc w:val="center"/>
            </w:pPr>
            <w:r>
              <w:t xml:space="preserve">Controls</w:t>
            </w:r>
          </w:p>
          <w:p>
            <w:pPr>
              <w:pStyle w:val="Compact"/>
              <w:jc w:val="center"/>
            </w:pPr>
            <w:r>
              <w:t xml:space="preserve">Yes</w:t>
            </w:r>
          </w:p>
          <w:p>
            <w:pPr>
              <w:pStyle w:val="Compact"/>
              <w:jc w:val="center"/>
            </w:pPr>
            <w:r>
              <w:t xml:space="preserve">Yes</w:t>
            </w:r>
          </w:p>
          <w:p>
            <w:pPr>
              <w:pStyle w:val="Compact"/>
              <w:jc w:val="center"/>
            </w:pPr>
            <w:r>
              <w:t xml:space="preserve">Yes</w:t>
            </w:r>
          </w:p>
          <w:p>
            <w:pPr>
              <w:pStyle w:val="Compact"/>
              <w:jc w:val="center"/>
            </w:pPr>
            <w:r>
              <w:t xml:space="preserve">Yes</w:t>
            </w:r>
          </w:p>
          <w:p>
            <w:pPr>
              <w:pStyle w:val="Compact"/>
              <w:jc w:val="center"/>
            </w:pPr>
            <w:r>
              <w:t xml:space="preserve">BIC</w:t>
            </w:r>
          </w:p>
          <w:p>
            <w:pPr>
              <w:pStyle w:val="Compact"/>
              <w:jc w:val="center"/>
            </w:pPr>
            <w:r>
              <w:t xml:space="preserve">20842.694</w:t>
            </w:r>
          </w:p>
          <w:p>
            <w:pPr>
              <w:pStyle w:val="Compact"/>
              <w:jc w:val="center"/>
            </w:pPr>
            <w:r>
              <w:t xml:space="preserve">20835.920</w:t>
            </w:r>
          </w:p>
          <w:p>
            <w:pPr>
              <w:pStyle w:val="Compact"/>
              <w:jc w:val="center"/>
            </w:pPr>
            <w:r>
              <w:t xml:space="preserve">20808.677</w:t>
            </w:r>
          </w:p>
          <w:p>
            <w:pPr>
              <w:pStyle w:val="Compact"/>
              <w:jc w:val="center"/>
            </w:pPr>
            <w:r>
              <w:t xml:space="preserve">20806.384</w:t>
            </w:r>
          </w:p>
          <w:p>
            <w:pPr>
              <w:pStyle w:val="Compact"/>
              <w:jc w:val="center"/>
            </w:pPr>
            <w:r>
              <w:t xml:space="preserve">Num. obs.</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Num. groups: idencuesta</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Var: idencuesta (Intercept)</w:t>
            </w:r>
          </w:p>
          <w:p>
            <w:pPr>
              <w:pStyle w:val="Compact"/>
              <w:jc w:val="center"/>
            </w:pPr>
            <w:r>
              <w:t xml:space="preserve">0.145</w:t>
            </w:r>
          </w:p>
          <w:p>
            <w:pPr>
              <w:pStyle w:val="Compact"/>
              <w:jc w:val="center"/>
            </w:pPr>
            <w:r>
              <w:t xml:space="preserve">0.145</w:t>
            </w:r>
          </w:p>
          <w:p>
            <w:pPr>
              <w:pStyle w:val="Compact"/>
              <w:jc w:val="center"/>
            </w:pPr>
            <w:r>
              <w:t xml:space="preserve">0.141</w:t>
            </w:r>
          </w:p>
          <w:p>
            <w:pPr>
              <w:pStyle w:val="Compact"/>
              <w:jc w:val="center"/>
            </w:pPr>
            <w:r>
              <w:t xml:space="preserve">0.141</w:t>
            </w:r>
          </w:p>
          <w:p>
            <w:pPr>
              <w:pStyle w:val="Compact"/>
              <w:jc w:val="center"/>
            </w:pPr>
            <w:r>
              <w:t xml:space="preserve">Var: idencuesta merit_effort_cwc</w:t>
            </w:r>
          </w:p>
          <w:p>
            <w:pPr>
              <w:pStyle w:val="Compact"/>
              <w:jc w:val="center"/>
            </w:pPr>
            <w:r>
              <w:t xml:space="preserve">0.020</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Var: idencuesta perc_inequality_cwc</w:t>
            </w:r>
          </w:p>
          <w:p>
            <w:pPr>
              <w:pStyle w:val="Compact"/>
              <w:jc w:val="center"/>
            </w:pPr>
            <w:r>
              <w:t xml:space="preserve">0.000</w:t>
            </w:r>
          </w:p>
          <w:p>
            <w:pPr>
              <w:pStyle w:val="Compact"/>
              <w:jc w:val="center"/>
            </w:pPr>
            <w:r>
              <w:t xml:space="preserve">0.000</w:t>
            </w:r>
          </w:p>
          <w:p>
            <w:pPr>
              <w:pStyle w:val="Compact"/>
              <w:jc w:val="center"/>
            </w:pPr>
            <w:r>
              <w:t xml:space="preserve"> </w:t>
            </w:r>
          </w:p>
          <w:p>
            <w:pPr>
              <w:pStyle w:val="Compact"/>
              <w:jc w:val="center"/>
            </w:pPr>
            <w:r>
              <w:t xml:space="preserve"> </w:t>
            </w:r>
          </w:p>
          <w:p>
            <w:pPr>
              <w:pStyle w:val="Compact"/>
              <w:jc w:val="center"/>
            </w:pPr>
            <w:r>
              <w:t xml:space="preserve">Cov: idencuesta (Intercept) merit_effort_cwc</w:t>
            </w:r>
          </w:p>
          <w:p>
            <w:pPr>
              <w:pStyle w:val="Compact"/>
              <w:jc w:val="center"/>
            </w:pPr>
            <w:r>
              <w:t xml:space="preserve">0.004</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Cov: idencuesta (Intercept) perc_inequality_cwc</w:t>
            </w:r>
          </w:p>
          <w:p>
            <w:pPr>
              <w:pStyle w:val="Compact"/>
              <w:jc w:val="center"/>
            </w:pPr>
            <w:r>
              <w:t xml:space="preserve">-0.006</w:t>
            </w:r>
          </w:p>
          <w:p>
            <w:pPr>
              <w:pStyle w:val="Compact"/>
              <w:jc w:val="center"/>
            </w:pPr>
            <w:r>
              <w:t xml:space="preserve">-0.005</w:t>
            </w:r>
          </w:p>
          <w:p>
            <w:pPr>
              <w:pStyle w:val="Compact"/>
              <w:jc w:val="center"/>
            </w:pPr>
            <w:r>
              <w:t xml:space="preserve"> </w:t>
            </w:r>
          </w:p>
          <w:p>
            <w:pPr>
              <w:pStyle w:val="Compact"/>
              <w:jc w:val="center"/>
            </w:pPr>
            <w:r>
              <w:t xml:space="preserve"> </w:t>
            </w:r>
          </w:p>
          <w:p>
            <w:pPr>
              <w:pStyle w:val="Compact"/>
              <w:jc w:val="center"/>
            </w:pPr>
            <w:r>
              <w:t xml:space="preserve">Cov: idencuesta merit_effort_cwc perc_inequality_cwc</w:t>
            </w:r>
          </w:p>
          <w:p>
            <w:pPr>
              <w:pStyle w:val="Compact"/>
              <w:jc w:val="center"/>
            </w:pPr>
            <w:r>
              <w:t xml:space="preserve">0.000</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Var: Residual</w:t>
            </w:r>
          </w:p>
          <w:p>
            <w:pPr>
              <w:pStyle w:val="Compact"/>
              <w:jc w:val="center"/>
            </w:pPr>
            <w:r>
              <w:t xml:space="preserve">0.512</w:t>
            </w:r>
          </w:p>
          <w:p>
            <w:pPr>
              <w:pStyle w:val="Compact"/>
              <w:jc w:val="center"/>
            </w:pPr>
            <w:r>
              <w:t xml:space="preserve">0.511</w:t>
            </w:r>
          </w:p>
          <w:p>
            <w:pPr>
              <w:pStyle w:val="Compact"/>
              <w:jc w:val="center"/>
            </w:pPr>
            <w:r>
              <w:t xml:space="preserve">0.528</w:t>
            </w:r>
          </w:p>
          <w:p>
            <w:pPr>
              <w:pStyle w:val="Compact"/>
              <w:jc w:val="center"/>
            </w:pPr>
            <w:r>
              <w:t xml:space="preserve">0.528</w:t>
            </w:r>
          </w:p>
          <w:p>
            <w:pPr>
              <w:pStyle w:val="Compact"/>
              <w:jc w:val="center"/>
            </w:pPr>
            <w:r>
              <w:t xml:space="preserve">Var: idencuesta merit_talent_cwc</w:t>
            </w:r>
          </w:p>
          <w:p>
            <w:pPr>
              <w:pStyle w:val="Compact"/>
              <w:jc w:val="center"/>
            </w:pPr>
            <w:r>
              <w:t xml:space="preserve"> </w:t>
            </w:r>
          </w:p>
          <w:p>
            <w:pPr>
              <w:pStyle w:val="Compact"/>
              <w:jc w:val="center"/>
            </w:pPr>
            <w:r>
              <w:t xml:space="preserve">0.020</w:t>
            </w:r>
          </w:p>
          <w:p>
            <w:pPr>
              <w:pStyle w:val="Compact"/>
              <w:jc w:val="center"/>
            </w:pPr>
            <w:r>
              <w:t xml:space="preserve"> </w:t>
            </w:r>
          </w:p>
          <w:p>
            <w:pPr>
              <w:pStyle w:val="Compact"/>
              <w:jc w:val="center"/>
            </w:pPr>
            <w:r>
              <w:t xml:space="preserve"> </w:t>
            </w:r>
          </w:p>
          <w:p>
            <w:pPr>
              <w:pStyle w:val="Compact"/>
              <w:jc w:val="center"/>
            </w:pPr>
            <w:r>
              <w:t xml:space="preserve">Cov: idencuesta (Intercept) merit_talent_cwc</w:t>
            </w:r>
          </w:p>
          <w:p>
            <w:pPr>
              <w:pStyle w:val="Compact"/>
              <w:jc w:val="center"/>
            </w:pPr>
            <w:r>
              <w:t xml:space="preserve"> </w:t>
            </w:r>
          </w:p>
          <w:p>
            <w:pPr>
              <w:pStyle w:val="Compact"/>
              <w:jc w:val="center"/>
            </w:pPr>
            <w:r>
              <w:t xml:space="preserve">0.012</w:t>
            </w:r>
          </w:p>
          <w:p>
            <w:pPr>
              <w:pStyle w:val="Compact"/>
              <w:jc w:val="center"/>
            </w:pPr>
            <w:r>
              <w:t xml:space="preserve"> </w:t>
            </w:r>
          </w:p>
          <w:p>
            <w:pPr>
              <w:pStyle w:val="Compact"/>
              <w:jc w:val="center"/>
            </w:pPr>
            <w:r>
              <w:t xml:space="preserve"> </w:t>
            </w:r>
          </w:p>
          <w:p>
            <w:pPr>
              <w:pStyle w:val="Compact"/>
              <w:jc w:val="center"/>
            </w:pPr>
            <w:r>
              <w:t xml:space="preserve">Cov: idencuesta merit_talent_cwc perc_inequality_cwc</w:t>
            </w:r>
          </w:p>
          <w:p>
            <w:pPr>
              <w:pStyle w:val="Compact"/>
              <w:jc w:val="center"/>
            </w:pPr>
            <w:r>
              <w:t xml:space="preserve"> </w:t>
            </w:r>
          </w:p>
          <w:p>
            <w:pPr>
              <w:pStyle w:val="Compact"/>
              <w:jc w:val="center"/>
            </w:pPr>
            <w:r>
              <w:t xml:space="preserve">0.001</w:t>
            </w:r>
          </w:p>
          <w:p>
            <w:pPr>
              <w:pStyle w:val="Compact"/>
              <w:jc w:val="center"/>
            </w:pPr>
            <w:r>
              <w:t xml:space="preserve"> </w:t>
            </w:r>
          </w:p>
          <w:p>
            <w:pPr>
              <w:pStyle w:val="Compact"/>
              <w:jc w:val="center"/>
            </w:pPr>
            <w:r>
              <w:t xml:space="preserve"> </w:t>
            </w:r>
          </w:p>
          <w:p>
            <w:pPr>
              <w:pStyle w:val="Compact"/>
              <w:jc w:val="center"/>
            </w:pPr>
            <w:r>
              <w:t xml:space="preserve">Note: Cells contain regression coefficients with standard errors in parentheses.</w:t>
            </w:r>
            <w:r>
              <w:t xml:space="preserve"> </w:t>
            </w:r>
            <w:r>
              <w:t xml:space="preserve">***</w:t>
            </w:r>
            <w:r>
              <w:t xml:space="preserve">p &lt; 0.001;</w:t>
            </w:r>
            <w:r>
              <w:t xml:space="preserve"> </w:t>
            </w:r>
            <w:r>
              <w:t xml:space="preserve">**</w:t>
            </w:r>
            <w:r>
              <w:t xml:space="preserve">p &lt; 0.01;</w:t>
            </w:r>
            <w:r>
              <w:t xml:space="preserve"> </w:t>
            </w:r>
            <w:r>
              <w:t xml:space="preserve">*</w:t>
            </w:r>
            <w:r>
              <w:t xml:space="preserve">p &lt; 0.05.</w:t>
            </w:r>
          </w:p>
          <w:bookmarkEnd w:id="51"/>
        </w:tc>
      </w:tr>
    </w:tbl>
    <w:tbl>
      <w:tblPr>
        <w:tblStyle w:val="Table"/>
        <w:tblW w:type="pct" w:w="5000"/>
        <w:tblLayout w:type="fixed"/>
        <w:tblLook w:firstRow="0" w:lastRow="0" w:firstColumn="0" w:lastColumn="0" w:noHBand="0" w:noVBand="0" w:val="0000"/>
      </w:tblPr>
      <w:tblGrid>
        <w:gridCol w:w="7920"/>
      </w:tblGrid>
      <w:tr>
        <w:tc>
          <w:tcPr/>
          <w:bookmarkStart w:id="55" w:name="fig-interact"/>
          <w:p>
            <w:pPr>
              <w:jc w:val="center"/>
            </w:pPr>
            <w:pPr>
              <w:jc w:val="start"/>
              <w:spacing w:before="200"/>
              <w:pStyle w:val="ImageCaption"/>
            </w:pPr>
            <w:r>
              <w:t xml:space="preserve">Figure 4: Within effects of perception of inequality and meritocratic perceptions on market justice preferences</w:t>
            </w:r>
          </w:p>
          <w:p>
            <w:pPr>
              <w:pStyle w:val="Compact"/>
              <w:jc w:val="center"/>
            </w:pPr>
            <w:r>
              <w:drawing>
                <wp:inline>
                  <wp:extent cx="5334000" cy="5334000"/>
                  <wp:effectExtent b="0" l="0" r="0" t="0"/>
                  <wp:docPr descr="" title="" id="53" name="Picture"/>
                  <a:graphic>
                    <a:graphicData uri="http://schemas.openxmlformats.org/drawingml/2006/picture">
                      <pic:pic>
                        <pic:nvPicPr>
                          <pic:cNvPr descr="paper_files/figure-docx/fig-interact-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bookmarkEnd w:id="55"/>
        </w:tc>
      </w:tr>
    </w:tbl>
    <w:p>
      <w:pPr>
        <w:pStyle w:val="BodyText"/>
      </w:pPr>
      <w:hyperlink w:anchor="tbl-interactions1">
        <w:r>
          <w:rPr>
            <w:rStyle w:val="Hyperlink"/>
          </w:rPr>
          <w:t xml:space="preserve">Table 4</w:t>
        </w:r>
      </w:hyperlink>
      <w:r>
        <w:t xml:space="preserve"> </w:t>
      </w:r>
      <w:r>
        <w:t xml:space="preserve">reports whether perceived economic inequality moderates the impact of meritocratic perceptions on market-justice preferences. Contrary to our hypothesis, the interaction terms in the within-person specification (Model 8 and Model 9) do not reach statistical significance. However, in the between-person specification (Model 10 and Model 11), interaction terms reach statistical significance, indicating that perceptions of economic inequality do meaningfully alter the effect of meritocracy on support for market allocation of social services. These effects are positive and mean that when the perception of inequality is greater, the positive effect of the meritocratic variables on market justice preferences is greater. These interaction effects are visualized in</w:t>
      </w:r>
      <w:r>
        <w:t xml:space="preserve"> </w:t>
      </w:r>
      <w:hyperlink w:anchor="fig-interact">
        <w:r>
          <w:rPr>
            <w:rStyle w:val="Hyperlink"/>
          </w:rPr>
          <w:t xml:space="preserve">Figure 4</w:t>
        </w:r>
      </w:hyperlink>
    </w:p>
    <w:tbl>
      <w:tblPr>
        <w:tblStyle w:val="Table"/>
        <w:tblW w:type="pct" w:w="5000"/>
        <w:tblLayout w:type="fixed"/>
        <w:tblLook w:firstRow="0" w:lastRow="0" w:firstColumn="0" w:lastColumn="0" w:noHBand="0" w:noVBand="0" w:val="0000"/>
      </w:tblPr>
      <w:tblGrid>
        <w:gridCol w:w="7920"/>
      </w:tblGrid>
      <w:tr>
        <w:tc>
          <w:tcPr/>
          <w:bookmarkStart w:id="56" w:name="tbl-interactions2"/>
          <w:p>
            <w:pPr>
              <w:jc w:val="center"/>
            </w:pPr>
            <w:pPr>
              <w:jc w:val="start"/>
              <w:spacing w:before="200"/>
              <w:pStyle w:val="ImageCaption"/>
            </w:pPr>
            <w:r>
              <w:t xml:space="preserve">Table 5: Interactions for meritocracy, perceived economic inequality and market justice preferences</w:t>
            </w:r>
          </w:p>
          <w:p>
            <w:pPr>
              <w:pStyle w:val="Compact"/>
              <w:jc w:val="center"/>
            </w:pPr>
            <w:r>
              <w:t xml:space="preserve"> </w:t>
            </w:r>
          </w:p>
          <w:p>
            <w:pPr>
              <w:pStyle w:val="Compact"/>
              <w:jc w:val="center"/>
            </w:pPr>
            <w:r>
              <w:t xml:space="preserve">Model 12</w:t>
            </w:r>
          </w:p>
          <w:p>
            <w:pPr>
              <w:pStyle w:val="Compact"/>
              <w:jc w:val="center"/>
            </w:pPr>
            <w:r>
              <w:t xml:space="preserve">Model 13</w:t>
            </w:r>
          </w:p>
          <w:p>
            <w:pPr>
              <w:pStyle w:val="Compact"/>
              <w:jc w:val="center"/>
            </w:pPr>
            <w:r>
              <w:t xml:space="preserve">Model 14</w:t>
            </w:r>
          </w:p>
          <w:p>
            <w:pPr>
              <w:pStyle w:val="Compact"/>
              <w:jc w:val="center"/>
            </w:pPr>
            <w:r>
              <w:t xml:space="preserve">Model 15</w:t>
            </w:r>
          </w:p>
          <w:p>
            <w:pPr>
              <w:pStyle w:val="Compact"/>
              <w:jc w:val="center"/>
            </w:pPr>
            <w:r>
              <w:t xml:space="preserve">Model 16</w:t>
            </w:r>
          </w:p>
          <w:p>
            <w:pPr>
              <w:pStyle w:val="Compact"/>
              <w:jc w:val="center"/>
            </w:pPr>
            <w:r>
              <w:t xml:space="preserve">Model 17</w:t>
            </w:r>
          </w:p>
          <w:p>
            <w:pPr>
              <w:pStyle w:val="Compact"/>
              <w:jc w:val="center"/>
            </w:pPr>
            <w:r>
              <w:t xml:space="preserve">Intercept</w:t>
            </w:r>
          </w:p>
          <w:p>
            <w:pPr>
              <w:pStyle w:val="Compact"/>
              <w:jc w:val="center"/>
            </w:pPr>
            <w:r>
              <w:t xml:space="preserve">1.543</w:t>
            </w:r>
            <w:r>
              <w:t xml:space="preserve">***</w:t>
            </w:r>
          </w:p>
          <w:p>
            <w:pPr>
              <w:pStyle w:val="Compact"/>
              <w:jc w:val="center"/>
            </w:pPr>
            <w:r>
              <w:t xml:space="preserve">1.527</w:t>
            </w:r>
            <w:r>
              <w:t xml:space="preserve">***</w:t>
            </w:r>
          </w:p>
          <w:p>
            <w:pPr>
              <w:pStyle w:val="Compact"/>
              <w:jc w:val="center"/>
            </w:pPr>
            <w:r>
              <w:t xml:space="preserve">1.521</w:t>
            </w:r>
            <w:r>
              <w:t xml:space="preserve">***</w:t>
            </w:r>
          </w:p>
          <w:p>
            <w:pPr>
              <w:pStyle w:val="Compact"/>
              <w:jc w:val="center"/>
            </w:pPr>
            <w:r>
              <w:t xml:space="preserve">1.680</w:t>
            </w:r>
            <w:r>
              <w:t xml:space="preserve">***</w:t>
            </w:r>
          </w:p>
          <w:p>
            <w:pPr>
              <w:pStyle w:val="Compact"/>
              <w:jc w:val="center"/>
            </w:pPr>
            <w:r>
              <w:t xml:space="preserve">1.374</w:t>
            </w:r>
            <w:r>
              <w:t xml:space="preserve">***</w:t>
            </w:r>
          </w:p>
          <w:p>
            <w:pPr>
              <w:pStyle w:val="Compact"/>
              <w:jc w:val="center"/>
            </w:pPr>
            <w:r>
              <w:t xml:space="preserve">1.362</w:t>
            </w:r>
            <w:r>
              <w:t xml:space="preserve">***</w:t>
            </w:r>
          </w:p>
          <w:p>
            <w:pPr>
              <w:pStyle w:val="Compact"/>
              <w:jc w:val="center"/>
            </w:pPr>
            <w:r>
              <w:t xml:space="preserve"> </w:t>
            </w:r>
          </w:p>
          <w:p>
            <w:pPr>
              <w:pStyle w:val="Compact"/>
              <w:jc w:val="center"/>
            </w:pPr>
            <w:r>
              <w:t xml:space="preserve">(0.115)</w:t>
            </w:r>
          </w:p>
          <w:p>
            <w:pPr>
              <w:pStyle w:val="Compact"/>
              <w:jc w:val="center"/>
            </w:pPr>
            <w:r>
              <w:t xml:space="preserve">(0.114)</w:t>
            </w:r>
          </w:p>
          <w:p>
            <w:pPr>
              <w:pStyle w:val="Compact"/>
              <w:jc w:val="center"/>
            </w:pPr>
            <w:r>
              <w:t xml:space="preserve">(0.114)</w:t>
            </w:r>
          </w:p>
          <w:p>
            <w:pPr>
              <w:pStyle w:val="Compact"/>
              <w:jc w:val="center"/>
            </w:pPr>
            <w:r>
              <w:t xml:space="preserve">(0.139)</w:t>
            </w:r>
          </w:p>
          <w:p>
            <w:pPr>
              <w:pStyle w:val="Compact"/>
              <w:jc w:val="center"/>
            </w:pPr>
            <w:r>
              <w:t xml:space="preserve">(0.133)</w:t>
            </w:r>
          </w:p>
          <w:p>
            <w:pPr>
              <w:pStyle w:val="Compact"/>
              <w:jc w:val="center"/>
            </w:pPr>
            <w:r>
              <w:t xml:space="preserve">(0.134)</w:t>
            </w:r>
          </w:p>
          <w:p>
            <w:pPr>
              <w:pStyle w:val="Compact"/>
              <w:jc w:val="center"/>
            </w:pPr>
            <w:r>
              <w:t xml:space="preserve">Wave x Perception inequality (WE)</w:t>
            </w:r>
          </w:p>
          <w:p>
            <w:pPr>
              <w:pStyle w:val="Compact"/>
              <w:jc w:val="center"/>
            </w:pPr>
            <w:r>
              <w:t xml:space="preserve">-0.004</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Wave x Merit: effort (WE)</w:t>
            </w:r>
          </w:p>
          <w:p>
            <w:pPr>
              <w:pStyle w:val="Compact"/>
              <w:jc w:val="center"/>
            </w:pPr>
            <w:r>
              <w:t xml:space="preserve"> </w:t>
            </w:r>
          </w:p>
          <w:p>
            <w:pPr>
              <w:pStyle w:val="Compact"/>
              <w:jc w:val="center"/>
            </w:pPr>
            <w:r>
              <w:t xml:space="preserve">-0.008</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Wave x Merit: talent (WE)</w:t>
            </w:r>
          </w:p>
          <w:p>
            <w:pPr>
              <w:pStyle w:val="Compact"/>
              <w:jc w:val="center"/>
            </w:pPr>
            <w:r>
              <w:t xml:space="preserve"> </w:t>
            </w:r>
          </w:p>
          <w:p>
            <w:pPr>
              <w:pStyle w:val="Compact"/>
              <w:jc w:val="center"/>
            </w:pPr>
            <w:r>
              <w:t xml:space="preserve"> </w:t>
            </w:r>
          </w:p>
          <w:p>
            <w:pPr>
              <w:pStyle w:val="Compact"/>
              <w:jc w:val="center"/>
            </w:pPr>
            <w:r>
              <w:t xml:space="preserve">-0.006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Wave x Perception inequality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0.011</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(0.007)</w:t>
            </w:r>
          </w:p>
          <w:p>
            <w:pPr>
              <w:pStyle w:val="Compact"/>
              <w:jc w:val="center"/>
            </w:pPr>
            <w:r>
              <w:t xml:space="preserve"> </w:t>
            </w:r>
          </w:p>
          <w:p>
            <w:pPr>
              <w:pStyle w:val="Compact"/>
              <w:jc w:val="center"/>
            </w:pPr>
            <w:r>
              <w:t xml:space="preserve"> </w:t>
            </w:r>
          </w:p>
          <w:p>
            <w:pPr>
              <w:pStyle w:val="Compact"/>
              <w:jc w:val="center"/>
            </w:pPr>
            <w:r>
              <w:t xml:space="preserve">Wave x Merit: effort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-0.021</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(0.008)</w:t>
            </w:r>
          </w:p>
          <w:p>
            <w:pPr>
              <w:pStyle w:val="Compact"/>
              <w:jc w:val="center"/>
            </w:pPr>
            <w:r>
              <w:t xml:space="preserve"> </w:t>
            </w:r>
          </w:p>
          <w:p>
            <w:pPr>
              <w:pStyle w:val="Compact"/>
              <w:jc w:val="center"/>
            </w:pPr>
            <w:r>
              <w:t xml:space="preserve">Wave x Merit: talent (BE)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-0.020</w:t>
            </w:r>
            <w:r>
              <w:t xml:space="preserve">*</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(0.008)</w:t>
            </w:r>
          </w:p>
          <w:p>
            <w:pPr>
              <w:pStyle w:val="Compact"/>
              <w:jc w:val="center"/>
            </w:pPr>
            <w:r>
              <w:t xml:space="preserve">Controls</w:t>
            </w:r>
          </w:p>
          <w:p>
            <w:pPr>
              <w:pStyle w:val="Compact"/>
              <w:jc w:val="center"/>
            </w:pPr>
            <w:r>
              <w:t xml:space="preserve">Yes</w:t>
            </w:r>
          </w:p>
          <w:p>
            <w:pPr>
              <w:pStyle w:val="Compact"/>
              <w:jc w:val="center"/>
            </w:pPr>
            <w:r>
              <w:t xml:space="preserve">Yes</w:t>
            </w:r>
          </w:p>
          <w:p>
            <w:pPr>
              <w:pStyle w:val="Compact"/>
              <w:jc w:val="center"/>
            </w:pPr>
            <w:r>
              <w:t xml:space="preserve">Yes</w:t>
            </w:r>
          </w:p>
          <w:p>
            <w:pPr>
              <w:pStyle w:val="Compact"/>
              <w:jc w:val="center"/>
            </w:pPr>
            <w:r>
              <w:t xml:space="preserve">Yes</w:t>
            </w:r>
          </w:p>
          <w:p>
            <w:pPr>
              <w:pStyle w:val="Compact"/>
              <w:jc w:val="center"/>
            </w:pPr>
            <w:r>
              <w:t xml:space="preserve">Yes</w:t>
            </w:r>
          </w:p>
          <w:p>
            <w:pPr>
              <w:pStyle w:val="Compact"/>
              <w:jc w:val="center"/>
            </w:pPr>
            <w:r>
              <w:t xml:space="preserve">Yes</w:t>
            </w:r>
          </w:p>
          <w:p>
            <w:pPr>
              <w:pStyle w:val="Compact"/>
              <w:jc w:val="center"/>
            </w:pPr>
            <w:r>
              <w:t xml:space="preserve">BIC</w:t>
            </w:r>
          </w:p>
          <w:p>
            <w:pPr>
              <w:pStyle w:val="Compact"/>
              <w:jc w:val="center"/>
            </w:pPr>
            <w:r>
              <w:t xml:space="preserve">20792.208</w:t>
            </w:r>
          </w:p>
          <w:p>
            <w:pPr>
              <w:pStyle w:val="Compact"/>
              <w:jc w:val="center"/>
            </w:pPr>
            <w:r>
              <w:t xml:space="preserve">20767.371</w:t>
            </w:r>
          </w:p>
          <w:p>
            <w:pPr>
              <w:pStyle w:val="Compact"/>
              <w:jc w:val="center"/>
            </w:pPr>
            <w:r>
              <w:t xml:space="preserve">20754.324</w:t>
            </w:r>
          </w:p>
          <w:p>
            <w:pPr>
              <w:pStyle w:val="Compact"/>
              <w:jc w:val="center"/>
            </w:pPr>
            <w:r>
              <w:t xml:space="preserve">20782.059</w:t>
            </w:r>
          </w:p>
          <w:p>
            <w:pPr>
              <w:pStyle w:val="Compact"/>
              <w:jc w:val="center"/>
            </w:pPr>
            <w:r>
              <w:t xml:space="preserve">20749.596</w:t>
            </w:r>
          </w:p>
          <w:p>
            <w:pPr>
              <w:pStyle w:val="Compact"/>
              <w:jc w:val="center"/>
            </w:pPr>
            <w:r>
              <w:t xml:space="preserve">20754.460</w:t>
            </w:r>
          </w:p>
          <w:p>
            <w:pPr>
              <w:pStyle w:val="Compact"/>
              <w:jc w:val="center"/>
            </w:pPr>
            <w:r>
              <w:t xml:space="preserve">Num. obs.</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8643</w:t>
            </w:r>
          </w:p>
          <w:p>
            <w:pPr>
              <w:pStyle w:val="Compact"/>
              <w:jc w:val="center"/>
            </w:pPr>
            <w:r>
              <w:t xml:space="preserve">Num. groups: idencuesta</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1687</w:t>
            </w:r>
          </w:p>
          <w:p>
            <w:pPr>
              <w:pStyle w:val="Compact"/>
              <w:jc w:val="center"/>
            </w:pPr>
            <w:r>
              <w:t xml:space="preserve">Var: idencuesta (Intercept)</w:t>
            </w:r>
          </w:p>
          <w:p>
            <w:pPr>
              <w:pStyle w:val="Compact"/>
              <w:jc w:val="center"/>
            </w:pPr>
            <w:r>
              <w:t xml:space="preserve">0.175</w:t>
            </w:r>
          </w:p>
          <w:p>
            <w:pPr>
              <w:pStyle w:val="Compact"/>
              <w:jc w:val="center"/>
            </w:pPr>
            <w:r>
              <w:t xml:space="preserve">0.166</w:t>
            </w:r>
          </w:p>
          <w:p>
            <w:pPr>
              <w:pStyle w:val="Compact"/>
              <w:jc w:val="center"/>
            </w:pPr>
            <w:r>
              <w:t xml:space="preserve">0.168</w:t>
            </w:r>
          </w:p>
          <w:p>
            <w:pPr>
              <w:pStyle w:val="Compact"/>
              <w:jc w:val="center"/>
            </w:pPr>
            <w:r>
              <w:t xml:space="preserve">0.382</w:t>
            </w:r>
          </w:p>
          <w:p>
            <w:pPr>
              <w:pStyle w:val="Compact"/>
              <w:jc w:val="center"/>
            </w:pPr>
            <w:r>
              <w:t xml:space="preserve">0.253</w:t>
            </w:r>
          </w:p>
          <w:p>
            <w:pPr>
              <w:pStyle w:val="Compact"/>
              <w:jc w:val="center"/>
            </w:pPr>
            <w:r>
              <w:t xml:space="preserve">0.028</w:t>
            </w:r>
          </w:p>
          <w:p>
            <w:pPr>
              <w:pStyle w:val="Compact"/>
              <w:jc w:val="center"/>
            </w:pPr>
            <w:r>
              <w:t xml:space="preserve">Var: idencuesta perc_inequality_cwc</w:t>
            </w:r>
          </w:p>
          <w:p>
            <w:pPr>
              <w:pStyle w:val="Compact"/>
              <w:jc w:val="center"/>
            </w:pPr>
            <w:r>
              <w:t xml:space="preserve">0.000</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Var: idencuesta ola_num</w:t>
            </w:r>
          </w:p>
          <w:p>
            <w:pPr>
              <w:pStyle w:val="Compact"/>
              <w:jc w:val="center"/>
            </w:pPr>
            <w:r>
              <w:t xml:space="preserve">0.010</w:t>
            </w:r>
          </w:p>
          <w:p>
            <w:pPr>
              <w:pStyle w:val="Compact"/>
              <w:jc w:val="center"/>
            </w:pPr>
            <w:r>
              <w:t xml:space="preserve">0.009</w:t>
            </w:r>
          </w:p>
          <w:p>
            <w:pPr>
              <w:pStyle w:val="Compact"/>
              <w:jc w:val="center"/>
            </w:pPr>
            <w:r>
              <w:t xml:space="preserve">0.009</w:t>
            </w:r>
          </w:p>
          <w:p>
            <w:pPr>
              <w:pStyle w:val="Compact"/>
              <w:jc w:val="center"/>
            </w:pPr>
            <w:r>
              <w:t xml:space="preserve">0.009</w:t>
            </w:r>
          </w:p>
          <w:p>
            <w:pPr>
              <w:pStyle w:val="Compact"/>
              <w:jc w:val="center"/>
            </w:pPr>
            <w:r>
              <w:t xml:space="preserve">0.009</w:t>
            </w:r>
          </w:p>
          <w:p>
            <w:pPr>
              <w:pStyle w:val="Compact"/>
              <w:jc w:val="center"/>
            </w:pPr>
            <w:r>
              <w:t xml:space="preserve">0.009</w:t>
            </w:r>
          </w:p>
          <w:p>
            <w:pPr>
              <w:pStyle w:val="Compact"/>
              <w:jc w:val="center"/>
            </w:pPr>
            <w:r>
              <w:t xml:space="preserve">Cov: idencuesta (Intercept) perc_inequality_cwc</w:t>
            </w:r>
          </w:p>
          <w:p>
            <w:pPr>
              <w:pStyle w:val="Compact"/>
              <w:jc w:val="center"/>
            </w:pPr>
            <w:r>
              <w:t xml:space="preserve">-0.007</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Cov: idencuesta (Intercept) ola_num</w:t>
            </w:r>
          </w:p>
          <w:p>
            <w:pPr>
              <w:pStyle w:val="Compact"/>
              <w:jc w:val="center"/>
            </w:pPr>
            <w:r>
              <w:t xml:space="preserve">-0.021</w:t>
            </w:r>
          </w:p>
          <w:p>
            <w:pPr>
              <w:pStyle w:val="Compact"/>
              <w:jc w:val="center"/>
            </w:pPr>
            <w:r>
              <w:t xml:space="preserve">-0.018</w:t>
            </w:r>
          </w:p>
          <w:p>
            <w:pPr>
              <w:pStyle w:val="Compact"/>
              <w:jc w:val="center"/>
            </w:pPr>
            <w:r>
              <w:t xml:space="preserve">-0.018</w:t>
            </w:r>
          </w:p>
          <w:p>
            <w:pPr>
              <w:pStyle w:val="Compact"/>
              <w:jc w:val="center"/>
            </w:pPr>
            <w:r>
              <w:t xml:space="preserve">-0.048</w:t>
            </w:r>
          </w:p>
          <w:p>
            <w:pPr>
              <w:pStyle w:val="Compact"/>
              <w:jc w:val="center"/>
            </w:pPr>
            <w:r>
              <w:t xml:space="preserve">-0.003</w:t>
            </w:r>
          </w:p>
          <w:p>
            <w:pPr>
              <w:pStyle w:val="Compact"/>
              <w:jc w:val="center"/>
            </w:pPr>
            <w:r>
              <w:t xml:space="preserve">0.005</w:t>
            </w:r>
          </w:p>
          <w:p>
            <w:pPr>
              <w:pStyle w:val="Compact"/>
              <w:jc w:val="center"/>
            </w:pPr>
            <w:r>
              <w:t xml:space="preserve">Cov: idencuesta perc_inequality_cwc ola_num</w:t>
            </w:r>
          </w:p>
          <w:p>
            <w:pPr>
              <w:pStyle w:val="Compact"/>
              <w:jc w:val="center"/>
            </w:pPr>
            <w:r>
              <w:t xml:space="preserve">0.002</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Var: Residual</w:t>
            </w:r>
          </w:p>
          <w:p>
            <w:pPr>
              <w:pStyle w:val="Compact"/>
              <w:jc w:val="center"/>
            </w:pPr>
            <w:r>
              <w:t xml:space="preserve">0.495</w:t>
            </w:r>
          </w:p>
          <w:p>
            <w:pPr>
              <w:pStyle w:val="Compact"/>
              <w:jc w:val="center"/>
            </w:pPr>
            <w:r>
              <w:t xml:space="preserve">0.480</w:t>
            </w:r>
          </w:p>
          <w:p>
            <w:pPr>
              <w:pStyle w:val="Compact"/>
              <w:jc w:val="center"/>
            </w:pPr>
            <w:r>
              <w:t xml:space="preserve">0.479</w:t>
            </w:r>
          </w:p>
          <w:p>
            <w:pPr>
              <w:pStyle w:val="Compact"/>
              <w:jc w:val="center"/>
            </w:pPr>
            <w:r>
              <w:t xml:space="preserve">0.494</w:t>
            </w:r>
          </w:p>
          <w:p>
            <w:pPr>
              <w:pStyle w:val="Compact"/>
              <w:jc w:val="center"/>
            </w:pPr>
            <w:r>
              <w:t xml:space="preserve">0.494</w:t>
            </w:r>
          </w:p>
          <w:p>
            <w:pPr>
              <w:pStyle w:val="Compact"/>
              <w:jc w:val="center"/>
            </w:pPr>
            <w:r>
              <w:t xml:space="preserve">0.494</w:t>
            </w:r>
          </w:p>
          <w:p>
            <w:pPr>
              <w:pStyle w:val="Compact"/>
              <w:jc w:val="center"/>
            </w:pPr>
            <w:r>
              <w:t xml:space="preserve">Var: idencuesta merit_effort_cwc</w:t>
            </w:r>
          </w:p>
          <w:p>
            <w:pPr>
              <w:pStyle w:val="Compact"/>
              <w:jc w:val="center"/>
            </w:pPr>
            <w:r>
              <w:t xml:space="preserve"> </w:t>
            </w:r>
          </w:p>
          <w:p>
            <w:pPr>
              <w:pStyle w:val="Compact"/>
              <w:jc w:val="center"/>
            </w:pPr>
            <w:r>
              <w:t xml:space="preserve">0.019</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Cov: idencuesta (Intercept) merit_effort_cwc</w:t>
            </w:r>
          </w:p>
          <w:p>
            <w:pPr>
              <w:pStyle w:val="Compact"/>
              <w:jc w:val="center"/>
            </w:pPr>
            <w:r>
              <w:t xml:space="preserve"> </w:t>
            </w:r>
          </w:p>
          <w:p>
            <w:pPr>
              <w:pStyle w:val="Compact"/>
              <w:jc w:val="center"/>
            </w:pPr>
            <w:r>
              <w:t xml:space="preserve">0.023</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Cov: idencuesta merit_effort_cwc ola_num</w:t>
            </w:r>
          </w:p>
          <w:p>
            <w:pPr>
              <w:pStyle w:val="Compact"/>
              <w:jc w:val="center"/>
            </w:pPr>
            <w:r>
              <w:t xml:space="preserve"> </w:t>
            </w:r>
          </w:p>
          <w:p>
            <w:pPr>
              <w:pStyle w:val="Compact"/>
              <w:jc w:val="center"/>
            </w:pPr>
            <w:r>
              <w:t xml:space="preserve">-0.005</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Var: idencuesta merit_talent_cwc</w:t>
            </w:r>
          </w:p>
          <w:p>
            <w:pPr>
              <w:pStyle w:val="Compact"/>
              <w:jc w:val="center"/>
            </w:pPr>
            <w:r>
              <w:t xml:space="preserve"> </w:t>
            </w:r>
          </w:p>
          <w:p>
            <w:pPr>
              <w:pStyle w:val="Compact"/>
              <w:jc w:val="center"/>
            </w:pPr>
            <w:r>
              <w:t xml:space="preserve"> </w:t>
            </w:r>
          </w:p>
          <w:p>
            <w:pPr>
              <w:pStyle w:val="Compact"/>
              <w:jc w:val="center"/>
            </w:pPr>
            <w:r>
              <w:t xml:space="preserve">0.019</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Cov: idencuesta (Intercept) merit_talent_cwc</w:t>
            </w:r>
          </w:p>
          <w:p>
            <w:pPr>
              <w:pStyle w:val="Compact"/>
              <w:jc w:val="center"/>
            </w:pPr>
            <w:r>
              <w:t xml:space="preserve"> </w:t>
            </w:r>
          </w:p>
          <w:p>
            <w:pPr>
              <w:pStyle w:val="Compact"/>
              <w:jc w:val="center"/>
            </w:pPr>
            <w:r>
              <w:t xml:space="preserve"> </w:t>
            </w:r>
          </w:p>
          <w:p>
            <w:pPr>
              <w:pStyle w:val="Compact"/>
              <w:jc w:val="center"/>
            </w:pPr>
            <w:r>
              <w:t xml:space="preserve">0.034</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Cov: idencuesta merit_talent_cwc ola_num</w:t>
            </w:r>
          </w:p>
          <w:p>
            <w:pPr>
              <w:pStyle w:val="Compact"/>
              <w:jc w:val="center"/>
            </w:pPr>
            <w:r>
              <w:t xml:space="preserve"> </w:t>
            </w:r>
          </w:p>
          <w:p>
            <w:pPr>
              <w:pStyle w:val="Compact"/>
              <w:jc w:val="center"/>
            </w:pPr>
            <w:r>
              <w:t xml:space="preserve"> </w:t>
            </w:r>
          </w:p>
          <w:p>
            <w:pPr>
              <w:pStyle w:val="Compact"/>
              <w:jc w:val="center"/>
            </w:pPr>
            <w:r>
              <w:t xml:space="preserve">-0.006</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Var: idencuesta perc_inequality_mean</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0.008</w:t>
            </w:r>
          </w:p>
          <w:p>
            <w:pPr>
              <w:pStyle w:val="Compact"/>
              <w:jc w:val="center"/>
            </w:pPr>
            <w:r>
              <w:t xml:space="preserve"> </w:t>
            </w:r>
          </w:p>
          <w:p>
            <w:pPr>
              <w:pStyle w:val="Compact"/>
              <w:jc w:val="center"/>
            </w:pPr>
            <w:r>
              <w:t xml:space="preserve"> </w:t>
            </w:r>
          </w:p>
          <w:p>
            <w:pPr>
              <w:pStyle w:val="Compact"/>
              <w:jc w:val="center"/>
            </w:pPr>
            <w:r>
              <w:t xml:space="preserve">Cov: idencuesta (Intercept) perc_inequality_mean</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-0.045</w:t>
            </w:r>
          </w:p>
          <w:p>
            <w:pPr>
              <w:pStyle w:val="Compact"/>
              <w:jc w:val="center"/>
            </w:pPr>
            <w:r>
              <w:t xml:space="preserve"> </w:t>
            </w:r>
          </w:p>
          <w:p>
            <w:pPr>
              <w:pStyle w:val="Compact"/>
              <w:jc w:val="center"/>
            </w:pPr>
            <w:r>
              <w:t xml:space="preserve"> </w:t>
            </w:r>
          </w:p>
          <w:p>
            <w:pPr>
              <w:pStyle w:val="Compact"/>
              <w:jc w:val="center"/>
            </w:pPr>
            <w:r>
              <w:t xml:space="preserve">Cov: idencuesta perc_inequality_mean ola_num</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0.009</w:t>
            </w:r>
          </w:p>
          <w:p>
            <w:pPr>
              <w:pStyle w:val="Compact"/>
              <w:jc w:val="center"/>
            </w:pPr>
            <w:r>
              <w:t xml:space="preserve"> </w:t>
            </w:r>
          </w:p>
          <w:p>
            <w:pPr>
              <w:pStyle w:val="Compact"/>
              <w:jc w:val="center"/>
            </w:pPr>
            <w:r>
              <w:t xml:space="preserve"> </w:t>
            </w:r>
          </w:p>
          <w:p>
            <w:pPr>
              <w:pStyle w:val="Compact"/>
              <w:jc w:val="center"/>
            </w:pPr>
            <w:r>
              <w:t xml:space="preserve">Var: idencuesta merit_effort_mean</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0.053</w:t>
            </w:r>
          </w:p>
          <w:p>
            <w:pPr>
              <w:pStyle w:val="Compact"/>
              <w:jc w:val="center"/>
            </w:pPr>
            <w:r>
              <w:t xml:space="preserve"> </w:t>
            </w:r>
          </w:p>
          <w:p>
            <w:pPr>
              <w:pStyle w:val="Compact"/>
              <w:jc w:val="center"/>
            </w:pPr>
            <w:r>
              <w:t xml:space="preserve">Cov: idencuesta (Intercept) merit_effort_mean</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-0.089</w:t>
            </w:r>
          </w:p>
          <w:p>
            <w:pPr>
              <w:pStyle w:val="Compact"/>
              <w:jc w:val="center"/>
            </w:pPr>
            <w:r>
              <w:t xml:space="preserve"> </w:t>
            </w:r>
          </w:p>
          <w:p>
            <w:pPr>
              <w:pStyle w:val="Compact"/>
              <w:jc w:val="center"/>
            </w:pPr>
            <w:r>
              <w:t xml:space="preserve">Cov: idencuesta merit_effort_mean ola_num</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-0.006</w:t>
            </w:r>
          </w:p>
          <w:p>
            <w:pPr>
              <w:pStyle w:val="Compact"/>
              <w:jc w:val="center"/>
            </w:pPr>
            <w:r>
              <w:t xml:space="preserve"> </w:t>
            </w:r>
          </w:p>
          <w:p>
            <w:pPr>
              <w:pStyle w:val="Compact"/>
              <w:jc w:val="center"/>
            </w:pPr>
            <w:r>
              <w:t xml:space="preserve">Var: idencuesta merit_talent_mean</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0.027</w:t>
            </w:r>
          </w:p>
          <w:p>
            <w:pPr>
              <w:pStyle w:val="Compact"/>
              <w:jc w:val="center"/>
            </w:pPr>
            <w:r>
              <w:t xml:space="preserve">Cov: idencuesta (Intercept) merit_talent_mean</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-0.013</w:t>
            </w:r>
          </w:p>
          <w:p>
            <w:pPr>
              <w:pStyle w:val="Compact"/>
              <w:jc w:val="center"/>
            </w:pPr>
            <w:r>
              <w:t xml:space="preserve">Cov: idencuesta merit_talent_mean ola_num</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 </w:t>
            </w:r>
          </w:p>
          <w:p>
            <w:pPr>
              <w:pStyle w:val="Compact"/>
              <w:jc w:val="center"/>
            </w:pPr>
            <w:r>
              <w:t xml:space="preserve">-0.009</w:t>
            </w:r>
          </w:p>
          <w:p>
            <w:pPr>
              <w:pStyle w:val="Compact"/>
              <w:jc w:val="center"/>
            </w:pPr>
            <w:r>
              <w:t xml:space="preserve">Note: Cells contain regression coefficients with standard errors in parentheses.</w:t>
            </w:r>
            <w:r>
              <w:t xml:space="preserve"> </w:t>
            </w:r>
            <w:r>
              <w:t xml:space="preserve">***</w:t>
            </w:r>
            <w:r>
              <w:t xml:space="preserve">p &lt; 0.001;</w:t>
            </w:r>
            <w:r>
              <w:t xml:space="preserve"> </w:t>
            </w:r>
            <w:r>
              <w:t xml:space="preserve">**</w:t>
            </w:r>
            <w:r>
              <w:t xml:space="preserve">p &lt; 0.01;</w:t>
            </w:r>
            <w:r>
              <w:t xml:space="preserve"> </w:t>
            </w:r>
            <w:r>
              <w:t xml:space="preserve">*</w:t>
            </w:r>
            <w:r>
              <w:t xml:space="preserve">p &lt; 0.05.</w:t>
            </w:r>
          </w:p>
          <w:bookmarkEnd w:id="56"/>
        </w:tc>
      </w:tr>
    </w:tbl>
    <w:tbl>
      <w:tblPr>
        <w:tblStyle w:val="Table"/>
        <w:tblW w:type="pct" w:w="5000"/>
        <w:tblLayout w:type="fixed"/>
        <w:tblLook w:firstRow="0" w:lastRow="0" w:firstColumn="0" w:lastColumn="0" w:noHBand="0" w:noVBand="0" w:val="0000"/>
      </w:tblPr>
      <w:tblGrid>
        <w:gridCol w:w="7920"/>
      </w:tblGrid>
      <w:tr>
        <w:tc>
          <w:tcPr/>
          <w:bookmarkStart w:id="60" w:name="fig-growth"/>
          <w:p>
            <w:pPr>
              <w:jc w:val="center"/>
            </w:pPr>
            <w:pPr>
              <w:jc w:val="start"/>
              <w:spacing w:before="200"/>
              <w:pStyle w:val="ImageCaption"/>
            </w:pPr>
            <w:r>
              <w:t xml:space="preserve">Figure 5: Time varying within effects of meritocratic perceptions on market justice preferences</w:t>
            </w:r>
          </w:p>
          <w:p>
            <w:pPr>
              <w:pStyle w:val="Compact"/>
              <w:jc w:val="center"/>
            </w:pPr>
            <w:r>
              <w:drawing>
                <wp:inline>
                  <wp:extent cx="5334000" cy="5334000"/>
                  <wp:effectExtent b="0" l="0" r="0" t="0"/>
                  <wp:docPr descr="" title="" id="58" name="Picture"/>
                  <a:graphic>
                    <a:graphicData uri="http://schemas.openxmlformats.org/drawingml/2006/picture">
                      <pic:pic>
                        <pic:nvPicPr>
                          <pic:cNvPr descr="paper_files/figure-docx/fig-growth-1.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bookmarkEnd w:id="60"/>
        </w:tc>
      </w:tr>
    </w:tbl>
    <w:p>
      <w:pPr>
        <w:pStyle w:val="BodyText"/>
      </w:pPr>
      <w:r>
        <w:t xml:space="preserve">With respect to the temporal dynamics of the key predictors,</w:t>
      </w:r>
      <w:r>
        <w:t xml:space="preserve"> </w:t>
      </w:r>
      <w:hyperlink w:anchor="tbl-interactions2">
        <w:r>
          <w:rPr>
            <w:rStyle w:val="Hyperlink"/>
          </w:rPr>
          <w:t xml:space="preserve">Table 5</w:t>
        </w:r>
      </w:hyperlink>
      <w:r>
        <w:t xml:space="preserve"> </w:t>
      </w:r>
      <w:r>
        <w:t xml:space="preserve">shows that time only has significant effects on the between effects of the meritocratic variables (Model 16 and Model 17). These interaction effects are negative and mean that in the last waves, the impact of meritocratic variables on market justice preferences is attenuated.</w:t>
      </w:r>
      <w:r>
        <w:t xml:space="preserve"> </w:t>
      </w:r>
      <w:hyperlink w:anchor="fig-growth">
        <w:r>
          <w:rPr>
            <w:rStyle w:val="Hyperlink"/>
          </w:rPr>
          <w:t xml:space="preserve">Figure 5</w:t>
        </w:r>
      </w:hyperlink>
      <w:r>
        <w:t xml:space="preserve"> </w:t>
      </w:r>
      <w:r>
        <w:t xml:space="preserve">illustrates the interaction between survey wave and the within-person effects of the meritocracy variables on market-justice preferences. As time advances, the positive within-person effect of perceiving that effort is rewarded (panel A) or that intelligence is rewarded (panel B) progressively attenuates. Put differently, the uplift in market justice preferences associated with a strong meritocratic perception becomes smaller in each successive wave.</w:t>
      </w:r>
    </w:p>
    <w:bookmarkEnd w:id="61"/>
    <w:bookmarkEnd w:id="62"/>
    <w:bookmarkStart w:id="63" w:name="discussion"/>
    <w:p>
      <w:pPr>
        <w:pStyle w:val="Heading1"/>
      </w:pPr>
      <w:r>
        <w:t xml:space="preserve">5. Discussion</w:t>
      </w:r>
    </w:p>
    <w:p>
      <w:pPr>
        <w:pStyle w:val="FirstParagraph"/>
      </w:pPr>
      <w:r>
        <w:t xml:space="preserve">This study tests several key hypotheses concerning the relationships between perceptions of economic inequality, meritocratic beliefs, and attitudes toward market justice in Chile. It posits that higher perceived inequality and stronger meritocratic beliefs both independently contribute to greater support for market-based distributions of social goods. Furthermore, the study examines how perceived economic inequality moderates the influence of meritocratic beliefs on market justice preferences. Additionally, it considers how major social and political mobilizations, such as those occurring around 2019 and subsequent years, may have weakened these relationships, reflecting increased critical perspectives on systemic inequalities and market mechanisms. The subsequent discussion interprets the empirical findings in light of these hypotheses, considering their implications for understanding attitudes toward inequality and social justice in a context marked by profound social change.</w:t>
      </w:r>
    </w:p>
    <w:p>
      <w:pPr>
        <w:pStyle w:val="BodyText"/>
      </w:pPr>
      <w:r>
        <w:t xml:space="preserve">The first hypothesis suggested that perceptions of economic inequality were strongly linked to attitudes toward market justice. The findings demonstrated that individuals perceiving higher income disparities showed stronger support for the distribution of social services based on individual income, aligning with theories emphasizing that awareness of inequality could fuel a critical view of such policies (Castillo et al., 2012; Mijs, 2021). This relationship reflected a moral economy where perceptions of systemic unfairness threatened the legitimacy of existing distributions, prompting calls for greater equity. Interestingly, the negative within-effects observed over time implied that as perceptions of inequality became more salient, some individuals experienced a decline in support for market justice, possibly due to increasing distrust in market mechanisms or disillusionment with the fairness of the system. This indicated that while perception heightened awareness, prolonged exposure or social mobilization could also foster skepticism about whether redistribution effectively addressed inequality or simply perpetuated systemic flaws.</w:t>
      </w:r>
    </w:p>
    <w:p>
      <w:pPr>
        <w:pStyle w:val="BodyText"/>
      </w:pPr>
      <w:r>
        <w:t xml:space="preserve">Regarding the second hypothesis, the results reinforced that meritocratic perceptions —particularly those emphasizing individual effort and talent— were associated with stronger support for market-based distribution systems. Individuals who viewed success as primarily earned through effort were more inclined to justify existing inequalities, seeing them as outcomes of individual merit rather than systemic injustice. This aligned with research indicating that meritocratic narratives served as moral justifications that reinforced societal stratification (Castillo et al., 2012; Hoyt et al., 2023). These beliefs functioned symbolically to legitimize structural disparities, reducing support for redistributive measures by framing inequality as fair and deserved. The findings suggested that these perceptions bolstered the social hierarchy by fostering acceptance of inequality as a reflection of individual virtue rather than structural failure, which was especially pertinent in neoliberal contexts like Chile’s, where market logic heavily influenced social attitudes.</w:t>
      </w:r>
    </w:p>
    <w:p>
      <w:pPr>
        <w:pStyle w:val="BodyText"/>
      </w:pPr>
      <w:r>
        <w:t xml:space="preserve">The third hypothesis concerned the moderating role of perceptions of inequality on the relationship between meritocracy and market justice attitudes. The analysis indicated that the positive association between meritocratic beliefs and support for market-based distribution tended to weaken when perceptions of economic inequality were particularly high. This pattern suggested that high awareness of disparities could challenge the moral high ground of meritocracy, as individuals might question whether success was truly based on effort or whether systemic biases distorted outcomes. Although the moderation was not consistently statistically significant across all models (i.e.within subjects effects), the observed trend aligned with theoretical expectations that perceptions of inequality undermined the legitimacy of meritocratic narratives and fragmented support for existing economic arrangements. This interaction revealed the complex psychological landscape in which deeply held beliefs about effort and reward could be destabilized by heightened awareness of systemic disparities, especially during times of social upheaval or mobilization.</w:t>
      </w:r>
    </w:p>
    <w:p>
      <w:pPr>
        <w:pStyle w:val="BodyText"/>
      </w:pPr>
      <w:r>
        <w:t xml:space="preserve">Finally, the fourth hypothesis addressed the impact of recent social movements, particularly from 2019 onwards, on the relationship between meritocratic beliefs, perceptions of inequality, and attitudes toward market justice. The results suggested that these movements contributed to a more critical stance toward the fairness of existing distributional mechanisms. Post-mobilization, the positive relationship between meritocratic beliefs and support for inequality appeared attenuated, indicating that collective action and public discourse during this period fostered questioning of the legitimacy of systemic inequalities justified solely through meritocratic narratives. These social mobilizations challenged dominant narratives, emphasizing structural barriers and systemic injustices, which in turn weakened the association between individual effort and deservingness. This is aligned with literature emphasizing that social protests act as catalysts for transforming societal attitudes by disrupting normative beliefs and encouraging more critical evaluations of institutional legitimacy</w:t>
      </w:r>
      <w:r>
        <w:t xml:space="preserve"> </w:t>
      </w:r>
      <w:r>
        <w:t xml:space="preserve">(</w:t>
      </w:r>
      <w:hyperlink w:anchor="ref-tilly_contentious_2015">
        <w:r>
          <w:rPr>
            <w:rStyle w:val="Hyperlink"/>
            <w:b/>
            <w:bCs/>
          </w:rPr>
          <w:t xml:space="preserve">tilly_contentious_2015?</w:t>
        </w:r>
      </w:hyperlink>
      <w:r>
        <w:t xml:space="preserve">)</w:t>
      </w:r>
      <w:r>
        <w:t xml:space="preserve">. The findings underscored the importance of socio-political context in shaping and reshaping attitudes toward inequality and justice, highlighting how collective action could temporarily or permanently alter the normative foundations that sustained support for market justice.</w:t>
      </w:r>
    </w:p>
    <w:bookmarkEnd w:id="63"/>
    <w:bookmarkStart w:id="64" w:name="conclusions"/>
    <w:p>
      <w:pPr>
        <w:pStyle w:val="Heading1"/>
      </w:pPr>
      <w:r>
        <w:t xml:space="preserve">6. Conclusions</w:t>
      </w:r>
    </w:p>
    <w:p>
      <w:pPr>
        <w:pStyle w:val="FirstParagraph"/>
      </w:pPr>
      <w:r>
        <w:t xml:space="preserve">This study examined the complex interplay between perceptions of economic inequality, meritocratic beliefs, and attitudes toward market justice in Chile from 2016 to 2023, drawing on longitudinal data from the ELSOC survey. By exploring how subjective assessments and social contexts influence support for redistribution and market-based resource allocation, the research offers different elements that contribute to the understanding of the normative foundations underpinning social justice attitudes in a highly unequal, neoliberal environment.</w:t>
      </w:r>
    </w:p>
    <w:p>
      <w:pPr>
        <w:pStyle w:val="BodyText"/>
      </w:pPr>
      <w:r>
        <w:t xml:space="preserve">The findings confirm that higher perceptions of economic inequality are associated with increased support for market justice attitudes, this is, the belief that it is fine that those with higher income have better social services such as education, pensions and health. Meritocratic beliefs strongly reinforce support for market justice, serving as moral justifications for structural inequalities. Additionally, perceptions of inequality moderate the influence of meritocratic beliefs, such that high awareness of disparities can weaken support for existing market-based allocations. Notably, the social mobilizations of 2019 and subsequent periods seem to have contributed to shifting attitudes, fostering greater skepticism of systemic fairness and reducing the legitimizing power of meritocratic narratives.</w:t>
      </w:r>
    </w:p>
    <w:p>
      <w:pPr>
        <w:pStyle w:val="BodyText"/>
      </w:pPr>
      <w:r>
        <w:t xml:space="preserve">This research advances the extant literature by integrating subjective perceptions with social and political contexts to explain attitudes toward economic inequality and distributional justice. While previous studies primarily focused on objective measures or individual characteristics, this work emphasizes the dynamic and interactional nature of perceptions and beliefs over time. It highlights the importance of socio-political upheavals in reshaping normative attitudes, underscoring the role of collective action in challenging entrenched narratives of meritocracy and fairness. The longitudinal approach provides a deeper temporal perspective on how societal events could influence individual beliefs and preferences.</w:t>
      </w:r>
    </w:p>
    <w:p>
      <w:pPr>
        <w:pStyle w:val="BodyText"/>
      </w:pPr>
      <w:r>
        <w:t xml:space="preserve">Despite its contributions, the study has several limitations. First, the reliance on self-reported perceptions and attitudes may be subject to social desirability bias. Second, the focus on Chile, while offering valuable insights into a specific context, limits the generalizability of results to other countries with different institutional and cultural backgrounds. Third, the observational nature of the data prevents causal inferences, and unobserved confounding factors may influence the observed relationships. Finally, the potential influence of media, political discourse, and peer effects on perceptions was not directly assessed.</w:t>
      </w:r>
    </w:p>
    <w:p>
      <w:pPr>
        <w:pStyle w:val="BodyText"/>
      </w:pPr>
      <w:r>
        <w:t xml:space="preserve">Future research could explore the causal mechanisms linking perceptions and attitudes, possibly through experimental or mixed-method designs. Comparative studies across different national contexts would help determine the universality or specificity of these dynamics. Additionally, investigating the role of media, political communication, and education in shaping perceptions of inequality and meritocracy would deepen understanding of the normative foundations of social justice attitudes. Finally, examining how these perceptions influence behavioral outcomes, such as political participation or support for social movements, would provide valuable insights into the pathways from beliefs to collective action and policy change.</w:t>
      </w:r>
    </w:p>
    <w:bookmarkEnd w:id="64"/>
    <w:bookmarkStart w:id="163" w:name="references"/>
    <w:p>
      <w:pPr>
        <w:pStyle w:val="Heading1"/>
      </w:pPr>
      <w:r>
        <w:t xml:space="preserve">7. References</w:t>
      </w:r>
    </w:p>
    <w:bookmarkStart w:id="162" w:name="refs"/>
    <w:bookmarkStart w:id="66" w:name="ref-akyelken_urban_2020"/>
    <w:p>
      <w:pPr>
        <w:pStyle w:val="Bibliography"/>
      </w:pPr>
      <w:r>
        <w:t xml:space="preserve">Akyelken, N. (2020). Urban conceptions of economic inequalities.</w:t>
      </w:r>
      <w:r>
        <w:t xml:space="preserve"> </w:t>
      </w:r>
      <w:r>
        <w:rPr>
          <w:i/>
          <w:iCs/>
        </w:rPr>
        <w:t xml:space="preserve">Regional Studies</w:t>
      </w:r>
      <w:r>
        <w:t xml:space="preserve">,</w:t>
      </w:r>
      <w:r>
        <w:t xml:space="preserve"> </w:t>
      </w:r>
      <w:r>
        <w:rPr>
          <w:i/>
          <w:iCs/>
        </w:rPr>
        <w:t xml:space="preserve">54</w:t>
      </w:r>
      <w:r>
        <w:t xml:space="preserve">(6), 863–872.</w:t>
      </w:r>
      <w:r>
        <w:t xml:space="preserve"> </w:t>
      </w:r>
      <w:hyperlink r:id="rId65">
        <w:r>
          <w:rPr>
            <w:rStyle w:val="Hyperlink"/>
          </w:rPr>
          <w:t xml:space="preserve">https://doi.org/10.1080/00343404.2020.1732902</w:t>
        </w:r>
      </w:hyperlink>
    </w:p>
    <w:bookmarkEnd w:id="66"/>
    <w:bookmarkStart w:id="68" w:name="ref-auspurg_why_2017"/>
    <w:p>
      <w:pPr>
        <w:pStyle w:val="Bibliography"/>
      </w:pPr>
      <w:r>
        <w:t xml:space="preserve">Auspurg, K., Hinz, T., &amp; Sauer, C. (2017). Why</w:t>
      </w:r>
      <w:r>
        <w:t xml:space="preserve"> </w:t>
      </w:r>
      <w:r>
        <w:t xml:space="preserve">Should Women Get Less</w:t>
      </w:r>
      <w:r>
        <w:t xml:space="preserve">?</w:t>
      </w:r>
      <w:r>
        <w:t xml:space="preserve"> </w:t>
      </w:r>
      <w:r>
        <w:t xml:space="preserve">Evidence</w:t>
      </w:r>
      <w:r>
        <w:t xml:space="preserve"> </w:t>
      </w:r>
      <w:r>
        <w:t xml:space="preserve">on the</w:t>
      </w:r>
      <w:r>
        <w:t xml:space="preserve"> </w:t>
      </w:r>
      <w:r>
        <w:t xml:space="preserve">Gender Pay Gap</w:t>
      </w:r>
      <w:r>
        <w:t xml:space="preserve"> </w:t>
      </w:r>
      <w:r>
        <w:t xml:space="preserve">from</w:t>
      </w:r>
      <w:r>
        <w:t xml:space="preserve"> </w:t>
      </w:r>
      <w:r>
        <w:t xml:space="preserve">Multifactorial Survey Experiments</w:t>
      </w:r>
      <w:r>
        <w:t xml:space="preserve">.</w:t>
      </w:r>
      <w:r>
        <w:t xml:space="preserve"> </w:t>
      </w:r>
      <w:r>
        <w:rPr>
          <w:i/>
          <w:iCs/>
        </w:rPr>
        <w:t xml:space="preserve">American Sociological Review</w:t>
      </w:r>
      <w:r>
        <w:t xml:space="preserve">,</w:t>
      </w:r>
      <w:r>
        <w:t xml:space="preserve"> </w:t>
      </w:r>
      <w:r>
        <w:rPr>
          <w:i/>
          <w:iCs/>
        </w:rPr>
        <w:t xml:space="preserve">82</w:t>
      </w:r>
      <w:r>
        <w:t xml:space="preserve">(1), 179–210.</w:t>
      </w:r>
      <w:r>
        <w:t xml:space="preserve"> </w:t>
      </w:r>
      <w:hyperlink r:id="rId67">
        <w:r>
          <w:rPr>
            <w:rStyle w:val="Hyperlink"/>
          </w:rPr>
          <w:t xml:space="preserve">https://doi.org/10.1177/0003122416683393</w:t>
        </w:r>
      </w:hyperlink>
    </w:p>
    <w:bookmarkEnd w:id="68"/>
    <w:bookmarkStart w:id="70" w:name="ref-bates_fitting_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69">
        <w:r>
          <w:rPr>
            <w:rStyle w:val="Hyperlink"/>
          </w:rPr>
          <w:t xml:space="preserve">https://doi.org/10.18637/jss.v067.i01</w:t>
        </w:r>
      </w:hyperlink>
    </w:p>
    <w:bookmarkEnd w:id="70"/>
    <w:bookmarkStart w:id="72" w:name="ref-batruch_belief_2023"/>
    <w:p>
      <w:pPr>
        <w:pStyle w:val="Bibliography"/>
      </w:pPr>
      <w:r>
        <w:t xml:space="preserve">Batruch, A., Jetten, J., Van De Werfhorst, H., Darnon, C., &amp; Butera, F. (2023). Belief in</w:t>
      </w:r>
      <w:r>
        <w:t xml:space="preserve"> </w:t>
      </w:r>
      <w:r>
        <w:t xml:space="preserve">School Meritocracy</w:t>
      </w:r>
      <w:r>
        <w:t xml:space="preserve"> </w:t>
      </w:r>
      <w:r>
        <w:t xml:space="preserve">and the</w:t>
      </w:r>
      <w:r>
        <w:t xml:space="preserve"> </w:t>
      </w:r>
      <w:r>
        <w:t xml:space="preserve">Legitimization</w:t>
      </w:r>
      <w:r>
        <w:t xml:space="preserve"> </w:t>
      </w:r>
      <w:r>
        <w:t xml:space="preserve">of</w:t>
      </w:r>
      <w:r>
        <w:t xml:space="preserve"> </w:t>
      </w:r>
      <w:r>
        <w:t xml:space="preserve">Social</w:t>
      </w:r>
      <w:r>
        <w:t xml:space="preserve"> </w:t>
      </w:r>
      <w:r>
        <w:t xml:space="preserve">and</w:t>
      </w:r>
      <w:r>
        <w:t xml:space="preserve"> </w:t>
      </w:r>
      <w:r>
        <w:t xml:space="preserve">Income Inequality</w:t>
      </w:r>
      <w:r>
        <w:t xml:space="preserve">.</w:t>
      </w:r>
      <w:r>
        <w:t xml:space="preserve"> </w:t>
      </w:r>
      <w:r>
        <w:rPr>
          <w:i/>
          <w:iCs/>
        </w:rPr>
        <w:t xml:space="preserve">Social Psychological and Personality Science</w:t>
      </w:r>
      <w:r>
        <w:t xml:space="preserve">,</w:t>
      </w:r>
      <w:r>
        <w:t xml:space="preserve"> </w:t>
      </w:r>
      <w:r>
        <w:rPr>
          <w:i/>
          <w:iCs/>
        </w:rPr>
        <w:t xml:space="preserve">14</w:t>
      </w:r>
      <w:r>
        <w:t xml:space="preserve">(5), 621–635.</w:t>
      </w:r>
      <w:r>
        <w:t xml:space="preserve"> </w:t>
      </w:r>
      <w:hyperlink r:id="rId71">
        <w:r>
          <w:rPr>
            <w:rStyle w:val="Hyperlink"/>
          </w:rPr>
          <w:t xml:space="preserve">https://doi.org/10.1177/19485506221111017</w:t>
        </w:r>
      </w:hyperlink>
    </w:p>
    <w:bookmarkEnd w:id="72"/>
    <w:bookmarkStart w:id="73" w:name="ref-boccardo_30_2020"/>
    <w:p>
      <w:pPr>
        <w:pStyle w:val="Bibliography"/>
      </w:pPr>
      <w:r>
        <w:t xml:space="preserve">Boccardo, G. (2020).</w:t>
      </w:r>
      <w:r>
        <w:t xml:space="preserve"> </w:t>
      </w:r>
      <w:r>
        <w:rPr>
          <w:i/>
          <w:iCs/>
        </w:rPr>
        <w:t xml:space="preserve">30 a</w:t>
      </w:r>
      <w:r>
        <w:rPr>
          <w:i/>
          <w:iCs/>
        </w:rPr>
        <w:t xml:space="preserve">ñ</w:t>
      </w:r>
      <w:r>
        <w:rPr>
          <w:i/>
          <w:iCs/>
        </w:rPr>
        <w:t xml:space="preserve">os de privatizaciones en</w:t>
      </w:r>
      <w:r>
        <w:rPr>
          <w:i/>
          <w:iCs/>
        </w:rPr>
        <w:t xml:space="preserve"> </w:t>
      </w:r>
      <w:r>
        <w:rPr>
          <w:i/>
          <w:iCs/>
        </w:rPr>
        <w:t xml:space="preserve">Chile</w:t>
      </w:r>
      <w:r>
        <w:rPr>
          <w:i/>
          <w:iCs/>
        </w:rPr>
        <w:t xml:space="preserve">: Lo que la pandemia revel</w:t>
      </w:r>
      <w:r>
        <w:rPr>
          <w:i/>
          <w:iCs/>
        </w:rPr>
        <w:t xml:space="preserve">ó</w:t>
      </w:r>
      <w:r>
        <w:t xml:space="preserve"> </w:t>
      </w:r>
      <w:r>
        <w:t xml:space="preserve">(Nodo XXI). Santiago.</w:t>
      </w:r>
    </w:p>
    <w:bookmarkEnd w:id="73"/>
    <w:bookmarkStart w:id="75" w:name="ref-busemeyer_positive_2021"/>
    <w:p>
      <w:pPr>
        <w:pStyle w:val="Bibliography"/>
      </w:pPr>
      <w:r>
        <w:t xml:space="preserve">Busemeyer, M. R., Abrassart, A., &amp; Nezi, R. (2021). Beyond</w:t>
      </w:r>
      <w:r>
        <w:t xml:space="preserve"> </w:t>
      </w:r>
      <w:r>
        <w:t xml:space="preserve">Positive</w:t>
      </w:r>
      <w:r>
        <w:t xml:space="preserve"> </w:t>
      </w:r>
      <w:r>
        <w:t xml:space="preserve">and</w:t>
      </w:r>
      <w:r>
        <w:t xml:space="preserve"> </w:t>
      </w:r>
      <w:r>
        <w:t xml:space="preserve">Negative</w:t>
      </w:r>
      <w:r>
        <w:t xml:space="preserve">:</w:t>
      </w:r>
      <w:r>
        <w:t xml:space="preserve"> </w:t>
      </w:r>
      <w:r>
        <w:t xml:space="preserve">New Perspectives</w:t>
      </w:r>
      <w:r>
        <w:t xml:space="preserve"> </w:t>
      </w:r>
      <w:r>
        <w:t xml:space="preserve">on</w:t>
      </w:r>
      <w:r>
        <w:t xml:space="preserve"> </w:t>
      </w:r>
      <w:r>
        <w:t xml:space="preserve">Feedback Effects</w:t>
      </w:r>
      <w:r>
        <w:t xml:space="preserve"> </w:t>
      </w:r>
      <w:r>
        <w:t xml:space="preserve">in</w:t>
      </w:r>
      <w:r>
        <w:t xml:space="preserve"> </w:t>
      </w:r>
      <w:r>
        <w:t xml:space="preserve">Public Opinion</w:t>
      </w:r>
      <w:r>
        <w:t xml:space="preserve"> </w:t>
      </w:r>
      <w:r>
        <w:t xml:space="preserve">on the</w:t>
      </w:r>
      <w:r>
        <w:t xml:space="preserve"> </w:t>
      </w:r>
      <w:r>
        <w:t xml:space="preserve">Welfare State</w:t>
      </w:r>
      <w:r>
        <w:t xml:space="preserve">.</w:t>
      </w:r>
      <w:r>
        <w:t xml:space="preserve"> </w:t>
      </w:r>
      <w:r>
        <w:rPr>
          <w:i/>
          <w:iCs/>
        </w:rPr>
        <w:t xml:space="preserve">British Journal of Political Science</w:t>
      </w:r>
      <w:r>
        <w:t xml:space="preserve">,</w:t>
      </w:r>
      <w:r>
        <w:t xml:space="preserve"> </w:t>
      </w:r>
      <w:r>
        <w:rPr>
          <w:i/>
          <w:iCs/>
        </w:rPr>
        <w:t xml:space="preserve">51</w:t>
      </w:r>
      <w:r>
        <w:t xml:space="preserve">(1), 137–162.</w:t>
      </w:r>
      <w:r>
        <w:t xml:space="preserve"> </w:t>
      </w:r>
      <w:hyperlink r:id="rId74">
        <w:r>
          <w:rPr>
            <w:rStyle w:val="Hyperlink"/>
          </w:rPr>
          <w:t xml:space="preserve">https://doi.org/10.1017/S0007123418000534</w:t>
        </w:r>
      </w:hyperlink>
    </w:p>
    <w:bookmarkEnd w:id="75"/>
    <w:bookmarkStart w:id="76" w:name="ref-castillo_cual_2009"/>
    <w:p>
      <w:pPr>
        <w:pStyle w:val="Bibliography"/>
      </w:pPr>
      <w:r>
        <w:t xml:space="preserve">Castillo, J. C. (2009).</w:t>
      </w:r>
      <w:r>
        <w:t xml:space="preserve"> </w:t>
      </w:r>
      <w:r>
        <w:t xml:space="preserve">Cu</w:t>
      </w:r>
      <w:r>
        <w:t xml:space="preserve">á</w:t>
      </w:r>
      <w:r>
        <w:t xml:space="preserve">l es la brecha salarial justa? Opini</w:t>
      </w:r>
      <w:r>
        <w:t xml:space="preserve">ó</w:t>
      </w:r>
      <w:r>
        <w:t xml:space="preserve">n p</w:t>
      </w:r>
      <w:r>
        <w:t xml:space="preserve">ú</w:t>
      </w:r>
      <w:r>
        <w:t xml:space="preserve">blica y legitimaci</w:t>
      </w:r>
      <w:r>
        <w:t xml:space="preserve">ó</w:t>
      </w:r>
      <w:r>
        <w:t xml:space="preserve">n de la desigualdad en Chile</w:t>
      </w:r>
      <w:r>
        <w:t xml:space="preserve">.</w:t>
      </w:r>
      <w:r>
        <w:t xml:space="preserve"> </w:t>
      </w:r>
      <w:r>
        <w:rPr>
          <w:i/>
          <w:iCs/>
        </w:rPr>
        <w:t xml:space="preserve">Estudios P</w:t>
      </w:r>
      <w:r>
        <w:rPr>
          <w:i/>
          <w:iCs/>
        </w:rPr>
        <w:t xml:space="preserve">ú</w:t>
      </w:r>
      <w:r>
        <w:rPr>
          <w:i/>
          <w:iCs/>
        </w:rPr>
        <w:t xml:space="preserve">blicos</w:t>
      </w:r>
      <w:r>
        <w:t xml:space="preserve">, (113).</w:t>
      </w:r>
    </w:p>
    <w:bookmarkEnd w:id="76"/>
    <w:bookmarkStart w:id="78" w:name="ref-Castillo2011"/>
    <w:p>
      <w:pPr>
        <w:pStyle w:val="Bibliography"/>
      </w:pPr>
      <w:r>
        <w:t xml:space="preserve">Castillo, J. C. (2011). Legitimacy of</w:t>
      </w:r>
      <w:r>
        <w:t xml:space="preserve"> </w:t>
      </w:r>
      <w:r>
        <w:t xml:space="preserve">Inequality</w:t>
      </w:r>
      <w:r>
        <w:t xml:space="preserve"> </w:t>
      </w:r>
      <w:r>
        <w:t xml:space="preserve">in a</w:t>
      </w:r>
      <w:r>
        <w:t xml:space="preserve"> </w:t>
      </w:r>
      <w:r>
        <w:t xml:space="preserve">Highly Unequal Context</w:t>
      </w:r>
      <w:r>
        <w:t xml:space="preserve">:</w:t>
      </w:r>
      <w:r>
        <w:t xml:space="preserve"> </w:t>
      </w:r>
      <w:r>
        <w:t xml:space="preserve">Evidence</w:t>
      </w:r>
      <w:r>
        <w:t xml:space="preserve"> </w:t>
      </w:r>
      <w:r>
        <w:t xml:space="preserve">from the</w:t>
      </w:r>
      <w:r>
        <w:t xml:space="preserve"> </w:t>
      </w:r>
      <w:r>
        <w:t xml:space="preserve">Chilean Case</w:t>
      </w:r>
      <w:r>
        <w:t xml:space="preserve">.</w:t>
      </w:r>
      <w:r>
        <w:t xml:space="preserve"> </w:t>
      </w:r>
      <w:r>
        <w:rPr>
          <w:i/>
          <w:iCs/>
        </w:rPr>
        <w:t xml:space="preserve">Social Justice Research</w:t>
      </w:r>
      <w:r>
        <w:t xml:space="preserve">,</w:t>
      </w:r>
      <w:r>
        <w:t xml:space="preserve"> </w:t>
      </w:r>
      <w:r>
        <w:rPr>
          <w:i/>
          <w:iCs/>
        </w:rPr>
        <w:t xml:space="preserve">24</w:t>
      </w:r>
      <w:r>
        <w:t xml:space="preserve">(4), 314–340.</w:t>
      </w:r>
      <w:r>
        <w:t xml:space="preserve"> </w:t>
      </w:r>
      <w:hyperlink r:id="rId77">
        <w:r>
          <w:rPr>
            <w:rStyle w:val="Hyperlink"/>
          </w:rPr>
          <w:t xml:space="preserve">https://doi.org/10.1007/s11211-011-0144-5</w:t>
        </w:r>
      </w:hyperlink>
    </w:p>
    <w:bookmarkEnd w:id="78"/>
    <w:bookmarkStart w:id="80" w:name="ref-castillo_perception_2022"/>
    <w:p>
      <w:pPr>
        <w:pStyle w:val="Bibliography"/>
      </w:pPr>
      <w:r>
        <w:t xml:space="preserve">Castillo, J. C., García-Castro, J.-D., &amp; Venegas, M. (2022). Perception of economic inequality: Concepts, associated factors and prospects of a burgeoning research agenda.</w:t>
      </w:r>
      <w:r>
        <w:t xml:space="preserve"> </w:t>
      </w:r>
      <w:r>
        <w:rPr>
          <w:i/>
          <w:iCs/>
        </w:rPr>
        <w:t xml:space="preserve">International Journal of Social Psychology</w:t>
      </w:r>
      <w:r>
        <w:t xml:space="preserve">,</w:t>
      </w:r>
      <w:r>
        <w:t xml:space="preserve"> </w:t>
      </w:r>
      <w:r>
        <w:rPr>
          <w:i/>
          <w:iCs/>
        </w:rPr>
        <w:t xml:space="preserve">37</w:t>
      </w:r>
      <w:r>
        <w:t xml:space="preserve">(1), 180–207.</w:t>
      </w:r>
      <w:r>
        <w:t xml:space="preserve"> </w:t>
      </w:r>
      <w:hyperlink r:id="rId79">
        <w:r>
          <w:rPr>
            <w:rStyle w:val="Hyperlink"/>
          </w:rPr>
          <w:t xml:space="preserve">https://doi.org/10.1080/02134748.2021.2009275</w:t>
        </w:r>
      </w:hyperlink>
    </w:p>
    <w:bookmarkEnd w:id="80"/>
    <w:bookmarkStart w:id="82" w:name="ref-castillo_multidimensional_2023"/>
    <w:p>
      <w:pPr>
        <w:pStyle w:val="Bibliography"/>
      </w:pPr>
      <w:r>
        <w:t xml:space="preserve">Castillo, J. C., Iturra, J., Maldonado, L., Atria, J., &amp; Meneses, F. (2023). A</w:t>
      </w:r>
      <w:r>
        <w:t xml:space="preserve"> </w:t>
      </w:r>
      <w:r>
        <w:t xml:space="preserve">Multidimensional Approach</w:t>
      </w:r>
      <w:r>
        <w:t xml:space="preserve"> </w:t>
      </w:r>
      <w:r>
        <w:t xml:space="preserve">for</w:t>
      </w:r>
      <w:r>
        <w:t xml:space="preserve"> </w:t>
      </w:r>
      <w:r>
        <w:t xml:space="preserve">Measuring Meritocratic Beliefs</w:t>
      </w:r>
      <w:r>
        <w:t xml:space="preserve">:</w:t>
      </w:r>
      <w:r>
        <w:t xml:space="preserve"> </w:t>
      </w:r>
      <w:r>
        <w:t xml:space="preserve">Advantages</w:t>
      </w:r>
      <w:r>
        <w:t xml:space="preserve">,</w:t>
      </w:r>
      <w:r>
        <w:t xml:space="preserve"> </w:t>
      </w:r>
      <w:r>
        <w:t xml:space="preserve">Limitations</w:t>
      </w:r>
      <w:r>
        <w:t xml:space="preserve"> </w:t>
      </w:r>
      <w:r>
        <w:t xml:space="preserve">and</w:t>
      </w:r>
      <w:r>
        <w:t xml:space="preserve"> </w:t>
      </w:r>
      <w:r>
        <w:t xml:space="preserve">Alternatives</w:t>
      </w:r>
      <w:r>
        <w:t xml:space="preserve"> </w:t>
      </w:r>
      <w:r>
        <w:t xml:space="preserve">to the</w:t>
      </w:r>
      <w:r>
        <w:t xml:space="preserve"> </w:t>
      </w:r>
      <w:r>
        <w:t xml:space="preserve">ISSP Social Inequality Survey</w:t>
      </w:r>
      <w:r>
        <w:t xml:space="preserve">.</w:t>
      </w:r>
      <w:r>
        <w:t xml:space="preserve"> </w:t>
      </w:r>
      <w:r>
        <w:rPr>
          <w:i/>
          <w:iCs/>
        </w:rPr>
        <w:t xml:space="preserve">International Journal of Sociology</w:t>
      </w:r>
      <w:r>
        <w:t xml:space="preserve">, 1–25.</w:t>
      </w:r>
      <w:r>
        <w:t xml:space="preserve"> </w:t>
      </w:r>
      <w:hyperlink r:id="rId81">
        <w:r>
          <w:rPr>
            <w:rStyle w:val="Hyperlink"/>
          </w:rPr>
          <w:t xml:space="preserve">https://doi.org/10.1080/00207659.2023.2274712</w:t>
        </w:r>
      </w:hyperlink>
    </w:p>
    <w:bookmarkEnd w:id="82"/>
    <w:bookmarkStart w:id="84" w:name="ref-castillo_percepcion_2019"/>
    <w:p>
      <w:pPr>
        <w:pStyle w:val="Bibliography"/>
      </w:pPr>
      <w:r>
        <w:t xml:space="preserve">Castillo, J. C., Miranda, D., &amp; Carrasco, D. (2012). Percepci</w:t>
      </w:r>
      <w:r>
        <w:t xml:space="preserve">ó</w:t>
      </w:r>
      <w:r>
        <w:t xml:space="preserve">n de</w:t>
      </w:r>
      <w:r>
        <w:t xml:space="preserve"> </w:t>
      </w:r>
      <w:r>
        <w:t xml:space="preserve">Desigualdad Econ</w:t>
      </w:r>
      <w:r>
        <w:t xml:space="preserve">ó</w:t>
      </w:r>
      <w:r>
        <w:t xml:space="preserve">mica</w:t>
      </w:r>
      <w:r>
        <w:t xml:space="preserve"> </w:t>
      </w:r>
      <w:r>
        <w:t xml:space="preserve">en</w:t>
      </w:r>
      <w:r>
        <w:t xml:space="preserve"> </w:t>
      </w:r>
      <w:r>
        <w:t xml:space="preserve">Chile</w:t>
      </w:r>
      <w:r>
        <w:t xml:space="preserve">:</w:t>
      </w:r>
      <w:r>
        <w:t xml:space="preserve"> </w:t>
      </w:r>
      <w:r>
        <w:t xml:space="preserve">Medici</w:t>
      </w:r>
      <w:r>
        <w:t xml:space="preserve">ó</w:t>
      </w:r>
      <w:r>
        <w:t xml:space="preserve">n</w:t>
      </w:r>
      <w:r>
        <w:t xml:space="preserve">,</w:t>
      </w:r>
      <w:r>
        <w:t xml:space="preserve"> </w:t>
      </w:r>
      <w:r>
        <w:t xml:space="preserve">Diferencias</w:t>
      </w:r>
      <w:r>
        <w:t xml:space="preserve"> </w:t>
      </w:r>
      <w:r>
        <w:t xml:space="preserve">y</w:t>
      </w:r>
      <w:r>
        <w:t xml:space="preserve"> </w:t>
      </w:r>
      <w:r>
        <w:t xml:space="preserve">Determinantes</w:t>
      </w:r>
      <w:r>
        <w:t xml:space="preserve">.</w:t>
      </w:r>
      <w:r>
        <w:t xml:space="preserve"> </w:t>
      </w:r>
      <w:r>
        <w:rPr>
          <w:i/>
          <w:iCs/>
        </w:rPr>
        <w:t xml:space="preserve">Psykhe (Santiago)</w:t>
      </w:r>
      <w:r>
        <w:t xml:space="preserve">,</w:t>
      </w:r>
      <w:r>
        <w:t xml:space="preserve"> </w:t>
      </w:r>
      <w:r>
        <w:rPr>
          <w:i/>
          <w:iCs/>
        </w:rPr>
        <w:t xml:space="preserve">21</w:t>
      </w:r>
      <w:r>
        <w:t xml:space="preserve">(1), 99–114.</w:t>
      </w:r>
      <w:r>
        <w:t xml:space="preserve"> </w:t>
      </w:r>
      <w:hyperlink r:id="rId83">
        <w:r>
          <w:rPr>
            <w:rStyle w:val="Hyperlink"/>
          </w:rPr>
          <w:t xml:space="preserve">https://doi.org/10.4067/S0718-22282012000100007</w:t>
        </w:r>
      </w:hyperlink>
    </w:p>
    <w:bookmarkEnd w:id="84"/>
    <w:bookmarkStart w:id="86" w:name="ref-castillo_socialization_2024"/>
    <w:p>
      <w:pPr>
        <w:pStyle w:val="Bibliography"/>
      </w:pPr>
      <w:r>
        <w:t xml:space="preserve">Castillo, J. C., Salgado, M., Carrasco, K., &amp; Laffert, A. (2024). The</w:t>
      </w:r>
      <w:r>
        <w:t xml:space="preserve"> </w:t>
      </w:r>
      <w:r>
        <w:t xml:space="preserve">Socialization</w:t>
      </w:r>
      <w:r>
        <w:t xml:space="preserve"> </w:t>
      </w:r>
      <w:r>
        <w:t xml:space="preserve">of</w:t>
      </w:r>
      <w:r>
        <w:t xml:space="preserve"> </w:t>
      </w:r>
      <w:r>
        <w:t xml:space="preserve">Meritocracy</w:t>
      </w:r>
      <w:r>
        <w:t xml:space="preserve"> </w:t>
      </w:r>
      <w:r>
        <w:t xml:space="preserve">and</w:t>
      </w:r>
      <w:r>
        <w:t xml:space="preserve"> </w:t>
      </w:r>
      <w:r>
        <w:t xml:space="preserve">Market Justice Preferences</w:t>
      </w:r>
      <w:r>
        <w:t xml:space="preserve"> </w:t>
      </w:r>
      <w:r>
        <w:t xml:space="preserve">at</w:t>
      </w:r>
      <w:r>
        <w:t xml:space="preserve"> </w:t>
      </w:r>
      <w:r>
        <w:t xml:space="preserve">School</w:t>
      </w:r>
      <w:r>
        <w:t xml:space="preserve">.</w:t>
      </w:r>
      <w:r>
        <w:t xml:space="preserve"> </w:t>
      </w:r>
      <w:r>
        <w:rPr>
          <w:i/>
          <w:iCs/>
        </w:rPr>
        <w:t xml:space="preserve">Societies</w:t>
      </w:r>
      <w:r>
        <w:t xml:space="preserve">,</w:t>
      </w:r>
      <w:r>
        <w:t xml:space="preserve"> </w:t>
      </w:r>
      <w:r>
        <w:rPr>
          <w:i/>
          <w:iCs/>
        </w:rPr>
        <w:t xml:space="preserve">14</w:t>
      </w:r>
      <w:r>
        <w:t xml:space="preserve">(11), 214.</w:t>
      </w:r>
      <w:r>
        <w:t xml:space="preserve"> </w:t>
      </w:r>
      <w:hyperlink r:id="rId85">
        <w:r>
          <w:rPr>
            <w:rStyle w:val="Hyperlink"/>
          </w:rPr>
          <w:t xml:space="preserve">https://doi.org/10.3390/soc14110214</w:t>
        </w:r>
      </w:hyperlink>
    </w:p>
    <w:bookmarkEnd w:id="86"/>
    <w:bookmarkStart w:id="87" w:name="ref-chancel_world_2022"/>
    <w:p>
      <w:pPr>
        <w:pStyle w:val="Bibliography"/>
      </w:pPr>
      <w:r>
        <w:t xml:space="preserve">Chancel, L., Piketty, T., Saez, E., &amp; Zucman, G. (2022). World inequality report 2022. https://bibliotecadigital.ccb.org.co/handle/11520/27510.</w:t>
      </w:r>
    </w:p>
    <w:bookmarkEnd w:id="87"/>
    <w:bookmarkStart w:id="88" w:name="ref-davis_principles_2001"/>
    <w:p>
      <w:pPr>
        <w:pStyle w:val="Bibliography"/>
      </w:pPr>
      <w:r>
        <w:t xml:space="preserve">Davis, K., &amp; Moore, W. E. (2001). Some</w:t>
      </w:r>
      <w:r>
        <w:t xml:space="preserve"> </w:t>
      </w:r>
      <w:r>
        <w:t xml:space="preserve">Principles</w:t>
      </w:r>
      <w:r>
        <w:t xml:space="preserve"> </w:t>
      </w:r>
      <w:r>
        <w:t xml:space="preserve">of</w:t>
      </w:r>
      <w:r>
        <w:t xml:space="preserve"> </w:t>
      </w:r>
      <w:r>
        <w:t xml:space="preserve">Stratification</w:t>
      </w:r>
      <w:r>
        <w:t xml:space="preserve">. In</w:t>
      </w:r>
      <w:r>
        <w:t xml:space="preserve"> </w:t>
      </w:r>
      <w:r>
        <w:rPr>
          <w:i/>
          <w:iCs/>
        </w:rPr>
        <w:t xml:space="preserve">Social</w:t>
      </w:r>
      <w:r>
        <w:rPr>
          <w:i/>
          <w:iCs/>
        </w:rPr>
        <w:t xml:space="preserve"> </w:t>
      </w:r>
      <w:r>
        <w:rPr>
          <w:i/>
          <w:iCs/>
        </w:rPr>
        <w:t xml:space="preserve">Stratification</w:t>
      </w:r>
      <w:r>
        <w:rPr>
          <w:i/>
          <w:iCs/>
        </w:rPr>
        <w:t xml:space="preserve">,</w:t>
      </w:r>
      <w:r>
        <w:rPr>
          <w:i/>
          <w:iCs/>
        </w:rPr>
        <w:t xml:space="preserve"> </w:t>
      </w:r>
      <w:r>
        <w:rPr>
          <w:i/>
          <w:iCs/>
        </w:rPr>
        <w:t xml:space="preserve">Class</w:t>
      </w:r>
      <w:r>
        <w:rPr>
          <w:i/>
          <w:iCs/>
        </w:rPr>
        <w:t xml:space="preserve">,</w:t>
      </w:r>
      <w:r>
        <w:rPr>
          <w:i/>
          <w:iCs/>
        </w:rPr>
        <w:t xml:space="preserve"> </w:t>
      </w:r>
      <w:r>
        <w:rPr>
          <w:i/>
          <w:iCs/>
        </w:rPr>
        <w:t xml:space="preserve">Race</w:t>
      </w:r>
      <w:r>
        <w:rPr>
          <w:i/>
          <w:iCs/>
        </w:rPr>
        <w:t xml:space="preserve">, and</w:t>
      </w:r>
      <w:r>
        <w:rPr>
          <w:i/>
          <w:iCs/>
        </w:rPr>
        <w:t xml:space="preserve"> </w:t>
      </w:r>
      <w:r>
        <w:rPr>
          <w:i/>
          <w:iCs/>
        </w:rPr>
        <w:t xml:space="preserve">Gender</w:t>
      </w:r>
      <w:r>
        <w:rPr>
          <w:i/>
          <w:iCs/>
        </w:rPr>
        <w:t xml:space="preserve"> </w:t>
      </w:r>
      <w:r>
        <w:rPr>
          <w:i/>
          <w:iCs/>
        </w:rPr>
        <w:t xml:space="preserve">in</w:t>
      </w:r>
      <w:r>
        <w:rPr>
          <w:i/>
          <w:iCs/>
        </w:rPr>
        <w:t xml:space="preserve"> </w:t>
      </w:r>
      <w:r>
        <w:rPr>
          <w:i/>
          <w:iCs/>
        </w:rPr>
        <w:t xml:space="preserve">Sociological Perspective</w:t>
      </w:r>
      <w:r>
        <w:rPr>
          <w:i/>
          <w:iCs/>
        </w:rPr>
        <w:t xml:space="preserve">,</w:t>
      </w:r>
      <w:r>
        <w:rPr>
          <w:i/>
          <w:iCs/>
        </w:rPr>
        <w:t xml:space="preserve"> </w:t>
      </w:r>
      <w:r>
        <w:rPr>
          <w:i/>
          <w:iCs/>
        </w:rPr>
        <w:t xml:space="preserve">Second Edition</w:t>
      </w:r>
      <w:r>
        <w:t xml:space="preserve"> </w:t>
      </w:r>
      <w:r>
        <w:t xml:space="preserve">(2nd ed.). Routledge.</w:t>
      </w:r>
    </w:p>
    <w:bookmarkEnd w:id="88"/>
    <w:bookmarkStart w:id="90" w:name="ref-easterbrook_social_2021"/>
    <w:p>
      <w:pPr>
        <w:pStyle w:val="Bibliography"/>
      </w:pPr>
      <w:r>
        <w:t xml:space="preserve">Easterbrook, M. J. (2021).</w:t>
      </w:r>
      <w:r>
        <w:t xml:space="preserve"> </w:t>
      </w:r>
      <w:r>
        <w:rPr>
          <w:i/>
          <w:iCs/>
        </w:rPr>
        <w:t xml:space="preserve">The social psychology of economic inequality</w:t>
      </w:r>
      <w:r>
        <w:t xml:space="preserve"> </w:t>
      </w:r>
      <w:r>
        <w:t xml:space="preserve">(43rd ed., Vol. 2021). UNU-WIDER.</w:t>
      </w:r>
      <w:r>
        <w:t xml:space="preserve"> </w:t>
      </w:r>
      <w:hyperlink r:id="rId89">
        <w:r>
          <w:rPr>
            <w:rStyle w:val="Hyperlink"/>
          </w:rPr>
          <w:t xml:space="preserve">https://doi.org/10.35188/UNU-WIDER/2021/981-5</w:t>
        </w:r>
      </w:hyperlink>
    </w:p>
    <w:bookmarkEnd w:id="90"/>
    <w:bookmarkStart w:id="92" w:name="ref-elsoc_estudio_2022"/>
    <w:p>
      <w:pPr>
        <w:pStyle w:val="Bibliography"/>
      </w:pPr>
      <w:r>
        <w:t xml:space="preserve">ELSOC, S. T. (2022). Estudio</w:t>
      </w:r>
      <w:r>
        <w:t xml:space="preserve"> </w:t>
      </w:r>
      <w:r>
        <w:t xml:space="preserve">Longitudinal Social</w:t>
      </w:r>
      <w:r>
        <w:t xml:space="preserve"> </w:t>
      </w:r>
      <w:r>
        <w:t xml:space="preserve">de</w:t>
      </w:r>
      <w:r>
        <w:t xml:space="preserve"> </w:t>
      </w:r>
      <w:r>
        <w:t xml:space="preserve">Chile</w:t>
      </w:r>
      <w:r>
        <w:t xml:space="preserve">. Harvard Dataverse.</w:t>
      </w:r>
      <w:r>
        <w:t xml:space="preserve"> </w:t>
      </w:r>
      <w:hyperlink r:id="rId91">
        <w:r>
          <w:rPr>
            <w:rStyle w:val="Hyperlink"/>
          </w:rPr>
          <w:t xml:space="preserve">https://doi.org/10.7910/dvn/0kirbj</w:t>
        </w:r>
      </w:hyperlink>
    </w:p>
    <w:bookmarkEnd w:id="92"/>
    <w:bookmarkStart w:id="94" w:name="ref-engelhardt_what_2018"/>
    <w:p>
      <w:pPr>
        <w:pStyle w:val="Bibliography"/>
      </w:pPr>
      <w:r>
        <w:t xml:space="preserve">Engelhardt, C., &amp; Wagener, A. (2018). What do</w:t>
      </w:r>
      <w:r>
        <w:t xml:space="preserve"> </w:t>
      </w:r>
      <w:r>
        <w:t xml:space="preserve">Germans</w:t>
      </w:r>
      <w:r>
        <w:t xml:space="preserve"> </w:t>
      </w:r>
      <w:r>
        <w:t xml:space="preserve">think and know about income inequality?</w:t>
      </w:r>
      <w:r>
        <w:t xml:space="preserve"> </w:t>
      </w:r>
      <w:r>
        <w:t xml:space="preserve">A</w:t>
      </w:r>
      <w:r>
        <w:t xml:space="preserve"> </w:t>
      </w:r>
      <w:r>
        <w:t xml:space="preserve">survey experiment.</w:t>
      </w:r>
      <w:r>
        <w:t xml:space="preserve"> </w:t>
      </w:r>
      <w:r>
        <w:rPr>
          <w:i/>
          <w:iCs/>
        </w:rPr>
        <w:t xml:space="preserve">Socio-Economic Review</w:t>
      </w:r>
      <w:r>
        <w:t xml:space="preserve">,</w:t>
      </w:r>
      <w:r>
        <w:t xml:space="preserve"> </w:t>
      </w:r>
      <w:r>
        <w:rPr>
          <w:i/>
          <w:iCs/>
        </w:rPr>
        <w:t xml:space="preserve">16</w:t>
      </w:r>
      <w:r>
        <w:t xml:space="preserve">(4), 743–767.</w:t>
      </w:r>
      <w:r>
        <w:t xml:space="preserve"> </w:t>
      </w:r>
      <w:hyperlink r:id="rId93">
        <w:r>
          <w:rPr>
            <w:rStyle w:val="Hyperlink"/>
          </w:rPr>
          <w:t xml:space="preserve">https://doi.org/10.1093/ser/mwx036</w:t>
        </w:r>
      </w:hyperlink>
    </w:p>
    <w:bookmarkEnd w:id="94"/>
    <w:bookmarkStart w:id="96" w:name="ref-flores_top_2020"/>
    <w:p>
      <w:pPr>
        <w:pStyle w:val="Bibliography"/>
      </w:pPr>
      <w:r>
        <w:t xml:space="preserve">Flores, I., Sanhueza, C., Atria, J., &amp; Mayer, R. (2020). Top</w:t>
      </w:r>
      <w:r>
        <w:t xml:space="preserve"> </w:t>
      </w:r>
      <w:r>
        <w:t xml:space="preserve">Incomes</w:t>
      </w:r>
      <w:r>
        <w:t xml:space="preserve"> </w:t>
      </w:r>
      <w:r>
        <w:t xml:space="preserve">in</w:t>
      </w:r>
      <w:r>
        <w:t xml:space="preserve"> </w:t>
      </w:r>
      <w:r>
        <w:t xml:space="preserve">Chile</w:t>
      </w:r>
      <w:r>
        <w:t xml:space="preserve">:</w:t>
      </w:r>
      <w:r>
        <w:t xml:space="preserve"> </w:t>
      </w:r>
      <w:r>
        <w:t xml:space="preserve">A Historical Perspective</w:t>
      </w:r>
      <w:r>
        <w:t xml:space="preserve"> </w:t>
      </w:r>
      <w:r>
        <w:t xml:space="preserve">on</w:t>
      </w:r>
      <w:r>
        <w:t xml:space="preserve"> </w:t>
      </w:r>
      <w:r>
        <w:t xml:space="preserve">Income Inequality</w:t>
      </w:r>
      <w:r>
        <w:t xml:space="preserve">, 1964–2017.</w:t>
      </w:r>
      <w:r>
        <w:t xml:space="preserve"> </w:t>
      </w:r>
      <w:r>
        <w:rPr>
          <w:i/>
          <w:iCs/>
        </w:rPr>
        <w:t xml:space="preserve">Review of Income and Wealth</w:t>
      </w:r>
      <w:r>
        <w:t xml:space="preserve">,</w:t>
      </w:r>
      <w:r>
        <w:t xml:space="preserve"> </w:t>
      </w:r>
      <w:r>
        <w:rPr>
          <w:i/>
          <w:iCs/>
        </w:rPr>
        <w:t xml:space="preserve">66</w:t>
      </w:r>
      <w:r>
        <w:t xml:space="preserve">(4), 850–874.</w:t>
      </w:r>
      <w:r>
        <w:t xml:space="preserve"> </w:t>
      </w:r>
      <w:hyperlink r:id="rId95">
        <w:r>
          <w:rPr>
            <w:rStyle w:val="Hyperlink"/>
          </w:rPr>
          <w:t xml:space="preserve">https://doi.org/10.1111/roiw.12441</w:t>
        </w:r>
      </w:hyperlink>
    </w:p>
    <w:bookmarkEnd w:id="96"/>
    <w:bookmarkStart w:id="98" w:name="ref-garcia-castro_perceiving_2020"/>
    <w:p>
      <w:pPr>
        <w:pStyle w:val="Bibliography"/>
      </w:pPr>
      <w:r>
        <w:t xml:space="preserve">García-Castro, J. D., Rodríguez-Bailón, R., &amp; Willis, G. B. (2020). Perceiving economic inequality in everyday life decreases tolerance to inequality.</w:t>
      </w:r>
      <w:r>
        <w:t xml:space="preserve"> </w:t>
      </w:r>
      <w:r>
        <w:rPr>
          <w:i/>
          <w:iCs/>
        </w:rPr>
        <w:t xml:space="preserve">Journal of Experimental Social Psychology</w:t>
      </w:r>
      <w:r>
        <w:t xml:space="preserve">,</w:t>
      </w:r>
      <w:r>
        <w:t xml:space="preserve"> </w:t>
      </w:r>
      <w:r>
        <w:rPr>
          <w:i/>
          <w:iCs/>
        </w:rPr>
        <w:t xml:space="preserve">90</w:t>
      </w:r>
      <w:r>
        <w:t xml:space="preserve">, 104019.</w:t>
      </w:r>
      <w:r>
        <w:t xml:space="preserve"> </w:t>
      </w:r>
      <w:hyperlink r:id="rId97">
        <w:r>
          <w:rPr>
            <w:rStyle w:val="Hyperlink"/>
          </w:rPr>
          <w:t xml:space="preserve">https://doi.org/10.1016/j.jesp.2020.104019</w:t>
        </w:r>
      </w:hyperlink>
    </w:p>
    <w:bookmarkEnd w:id="98"/>
    <w:bookmarkStart w:id="100" w:name="ref-garcia-sanchez_creencias_2022"/>
    <w:p>
      <w:pPr>
        <w:pStyle w:val="Bibliography"/>
      </w:pPr>
      <w:r>
        <w:t xml:space="preserve">García-Sánchez, E., &amp; De Carvalho, S. (2022). Las creencias que justifican la desigualdad moderan la relaci</w:t>
      </w:r>
      <w:r>
        <w:t xml:space="preserve">ó</w:t>
      </w:r>
      <w:r>
        <w:t xml:space="preserve">n entre el estatus socioecon</w:t>
      </w:r>
      <w:r>
        <w:t xml:space="preserve">ó</w:t>
      </w:r>
      <w:r>
        <w:t xml:space="preserve">mico y el apoyo a la redistribuci</w:t>
      </w:r>
      <w:r>
        <w:t xml:space="preserve">ó</w:t>
      </w:r>
      <w:r>
        <w:t xml:space="preserve">n.</w:t>
      </w:r>
      <w:r>
        <w:t xml:space="preserve"> </w:t>
      </w:r>
      <w:r>
        <w:rPr>
          <w:i/>
          <w:iCs/>
        </w:rPr>
        <w:t xml:space="preserve">Revista Internacional de Sociolog</w:t>
      </w:r>
      <w:r>
        <w:rPr>
          <w:i/>
          <w:iCs/>
        </w:rPr>
        <w:t xml:space="preserve">í</w:t>
      </w:r>
      <w:r>
        <w:rPr>
          <w:i/>
          <w:iCs/>
        </w:rPr>
        <w:t xml:space="preserve">a</w:t>
      </w:r>
      <w:r>
        <w:t xml:space="preserve">,</w:t>
      </w:r>
      <w:r>
        <w:t xml:space="preserve"> </w:t>
      </w:r>
      <w:r>
        <w:rPr>
          <w:i/>
          <w:iCs/>
        </w:rPr>
        <w:t xml:space="preserve">80</w:t>
      </w:r>
      <w:r>
        <w:t xml:space="preserve">(3), e210.</w:t>
      </w:r>
      <w:r>
        <w:t xml:space="preserve"> </w:t>
      </w:r>
      <w:hyperlink r:id="rId99">
        <w:r>
          <w:rPr>
            <w:rStyle w:val="Hyperlink"/>
          </w:rPr>
          <w:t xml:space="preserve">https://doi.org/10.3989/ris.2022.80.3.21.29</w:t>
        </w:r>
      </w:hyperlink>
    </w:p>
    <w:bookmarkEnd w:id="100"/>
    <w:bookmarkStart w:id="102" w:name="ref-garcia-sanchez_attitudes_2020"/>
    <w:p>
      <w:pPr>
        <w:pStyle w:val="Bibliography"/>
      </w:pPr>
      <w:r>
        <w:t xml:space="preserve">García-Sánchez, E., Osborne, D., Willis, G. B., &amp; Rodríguez-Bailón, R. (2020). Attitudes towards redistribution and the interplay between perceptions and beliefs about inequality.</w:t>
      </w:r>
      <w:r>
        <w:t xml:space="preserve"> </w:t>
      </w:r>
      <w:r>
        <w:rPr>
          <w:i/>
          <w:iCs/>
        </w:rPr>
        <w:t xml:space="preserve">British Journal of Social Psychology</w:t>
      </w:r>
      <w:r>
        <w:t xml:space="preserve">,</w:t>
      </w:r>
      <w:r>
        <w:t xml:space="preserve"> </w:t>
      </w:r>
      <w:r>
        <w:rPr>
          <w:i/>
          <w:iCs/>
        </w:rPr>
        <w:t xml:space="preserve">59</w:t>
      </w:r>
      <w:r>
        <w:t xml:space="preserve">(1), 111–136.</w:t>
      </w:r>
      <w:r>
        <w:t xml:space="preserve"> </w:t>
      </w:r>
      <w:hyperlink r:id="rId101">
        <w:r>
          <w:rPr>
            <w:rStyle w:val="Hyperlink"/>
          </w:rPr>
          <w:t xml:space="preserve">https://doi.org/10.1111/bjso.12326</w:t>
        </w:r>
      </w:hyperlink>
    </w:p>
    <w:bookmarkEnd w:id="102"/>
    <w:bookmarkStart w:id="104" w:name="ref-garcia-sanchez_vicious_2019"/>
    <w:p>
      <w:pPr>
        <w:pStyle w:val="Bibliography"/>
      </w:pPr>
      <w:r>
        <w:t xml:space="preserve">García-Sánchez, E., Van Der Toorn, J., Rodríguez-Bailón, R., &amp; Willis, G. B. (2019). The</w:t>
      </w:r>
      <w:r>
        <w:t xml:space="preserve"> </w:t>
      </w:r>
      <w:r>
        <w:t xml:space="preserve">Vicious Cycle</w:t>
      </w:r>
      <w:r>
        <w:t xml:space="preserve"> </w:t>
      </w:r>
      <w:r>
        <w:t xml:space="preserve">of</w:t>
      </w:r>
      <w:r>
        <w:t xml:space="preserve"> </w:t>
      </w:r>
      <w:r>
        <w:t xml:space="preserve">Economic Inequality</w:t>
      </w:r>
      <w:r>
        <w:t xml:space="preserve">:</w:t>
      </w:r>
      <w:r>
        <w:t xml:space="preserve"> </w:t>
      </w:r>
      <w:r>
        <w:t xml:space="preserve">The Role</w:t>
      </w:r>
      <w:r>
        <w:t xml:space="preserve"> </w:t>
      </w:r>
      <w:r>
        <w:t xml:space="preserve">of</w:t>
      </w:r>
      <w:r>
        <w:t xml:space="preserve"> </w:t>
      </w:r>
      <w:r>
        <w:t xml:space="preserve">Ideology</w:t>
      </w:r>
      <w:r>
        <w:t xml:space="preserve"> </w:t>
      </w:r>
      <w:r>
        <w:t xml:space="preserve">in</w:t>
      </w:r>
      <w:r>
        <w:t xml:space="preserve"> </w:t>
      </w:r>
      <w:r>
        <w:t xml:space="preserve">Shaping</w:t>
      </w:r>
      <w:r>
        <w:t xml:space="preserve"> </w:t>
      </w:r>
      <w:r>
        <w:t xml:space="preserve">the</w:t>
      </w:r>
      <w:r>
        <w:t xml:space="preserve"> </w:t>
      </w:r>
      <w:r>
        <w:t xml:space="preserve">Relationship Between</w:t>
      </w:r>
      <w:r>
        <w:t xml:space="preserve"> </w:t>
      </w:r>
      <w:r>
        <w:t xml:space="preserve">“</w:t>
      </w:r>
      <w:r>
        <w:t xml:space="preserve">What Is</w:t>
      </w:r>
      <w:r>
        <w:t xml:space="preserve">”</w:t>
      </w:r>
      <w:r>
        <w:t xml:space="preserve"> </w:t>
      </w:r>
      <w:r>
        <w:t xml:space="preserve">and</w:t>
      </w:r>
      <w:r>
        <w:t xml:space="preserve"> </w:t>
      </w:r>
      <w:r>
        <w:t xml:space="preserve">“</w:t>
      </w:r>
      <w:r>
        <w:t xml:space="preserve">What Ought</w:t>
      </w:r>
      <w:r>
        <w:t xml:space="preserve"> </w:t>
      </w:r>
      <w:r>
        <w:t xml:space="preserve">to</w:t>
      </w:r>
      <w:r>
        <w:t xml:space="preserve"> </w:t>
      </w:r>
      <w:r>
        <w:t xml:space="preserve">Be</w:t>
      </w:r>
      <w:r>
        <w:t xml:space="preserve">”</w:t>
      </w:r>
      <w:r>
        <w:t xml:space="preserve"> </w:t>
      </w:r>
      <w:r>
        <w:t xml:space="preserve">in 41</w:t>
      </w:r>
      <w:r>
        <w:t xml:space="preserve"> </w:t>
      </w:r>
      <w:r>
        <w:t xml:space="preserve">Countries</w:t>
      </w:r>
      <w:r>
        <w:t xml:space="preserve">.</w:t>
      </w:r>
      <w:r>
        <w:t xml:space="preserve"> </w:t>
      </w:r>
      <w:r>
        <w:rPr>
          <w:i/>
          <w:iCs/>
        </w:rPr>
        <w:t xml:space="preserve">Social Psychological and Personality Science</w:t>
      </w:r>
      <w:r>
        <w:t xml:space="preserve">,</w:t>
      </w:r>
      <w:r>
        <w:t xml:space="preserve"> </w:t>
      </w:r>
      <w:r>
        <w:rPr>
          <w:i/>
          <w:iCs/>
        </w:rPr>
        <w:t xml:space="preserve">10</w:t>
      </w:r>
      <w:r>
        <w:t xml:space="preserve">(8), 991–1001.</w:t>
      </w:r>
      <w:r>
        <w:t xml:space="preserve"> </w:t>
      </w:r>
      <w:hyperlink r:id="rId103">
        <w:r>
          <w:rPr>
            <w:rStyle w:val="Hyperlink"/>
          </w:rPr>
          <w:t xml:space="preserve">https://doi.org/10.1177/1948550618811500</w:t>
        </w:r>
      </w:hyperlink>
    </w:p>
    <w:bookmarkEnd w:id="104"/>
    <w:bookmarkStart w:id="106" w:name="ref-garcia-sanchez_perceptions_2018"/>
    <w:p>
      <w:pPr>
        <w:pStyle w:val="Bibliography"/>
      </w:pPr>
      <w:r>
        <w:t xml:space="preserve">García-Sánchez, E., Willis, G. B., Rodríguez-Bailón, R., Palacio Sañudo, J., David Polo, J., &amp; Rentería Pérez, E. (2018). Perceptions of</w:t>
      </w:r>
      <w:r>
        <w:t xml:space="preserve"> </w:t>
      </w:r>
      <w:r>
        <w:t xml:space="preserve">Economic Inequality</w:t>
      </w:r>
      <w:r>
        <w:t xml:space="preserve"> </w:t>
      </w:r>
      <w:r>
        <w:t xml:space="preserve">and</w:t>
      </w:r>
      <w:r>
        <w:t xml:space="preserve"> </w:t>
      </w:r>
      <w:r>
        <w:t xml:space="preserve">Support</w:t>
      </w:r>
      <w:r>
        <w:t xml:space="preserve"> </w:t>
      </w:r>
      <w:r>
        <w:t xml:space="preserve">for</w:t>
      </w:r>
      <w:r>
        <w:t xml:space="preserve"> </w:t>
      </w:r>
      <w:r>
        <w:t xml:space="preserve">Redistribution</w:t>
      </w:r>
      <w:r>
        <w:t xml:space="preserve">:</w:t>
      </w:r>
      <w:r>
        <w:t xml:space="preserve"> </w:t>
      </w:r>
      <w:r>
        <w:t xml:space="preserve">The</w:t>
      </w:r>
      <w:r>
        <w:t xml:space="preserve"> </w:t>
      </w:r>
      <w:r>
        <w:t xml:space="preserve">role of</w:t>
      </w:r>
      <w:r>
        <w:t xml:space="preserve"> </w:t>
      </w:r>
      <w:r>
        <w:t xml:space="preserve">Existential</w:t>
      </w:r>
      <w:r>
        <w:t xml:space="preserve"> </w:t>
      </w:r>
      <w:r>
        <w:t xml:space="preserve">and</w:t>
      </w:r>
      <w:r>
        <w:t xml:space="preserve"> </w:t>
      </w:r>
      <w:r>
        <w:t xml:space="preserve">Utopian Standards</w:t>
      </w:r>
      <w:r>
        <w:t xml:space="preserve">.</w:t>
      </w:r>
      <w:r>
        <w:t xml:space="preserve"> </w:t>
      </w:r>
      <w:r>
        <w:rPr>
          <w:i/>
          <w:iCs/>
        </w:rPr>
        <w:t xml:space="preserve">Social Justice Research</w:t>
      </w:r>
      <w:r>
        <w:t xml:space="preserve">,</w:t>
      </w:r>
      <w:r>
        <w:t xml:space="preserve"> </w:t>
      </w:r>
      <w:r>
        <w:rPr>
          <w:i/>
          <w:iCs/>
        </w:rPr>
        <w:t xml:space="preserve">31</w:t>
      </w:r>
      <w:r>
        <w:t xml:space="preserve">(4), 335–354.</w:t>
      </w:r>
      <w:r>
        <w:t xml:space="preserve"> </w:t>
      </w:r>
      <w:hyperlink r:id="rId105">
        <w:r>
          <w:rPr>
            <w:rStyle w:val="Hyperlink"/>
          </w:rPr>
          <w:t xml:space="preserve">https://doi.org/10.1007/s11211-018-0317-6</w:t>
        </w:r>
      </w:hyperlink>
    </w:p>
    <w:bookmarkEnd w:id="106"/>
    <w:bookmarkStart w:id="107" w:name="ref-gijsberts_thelegitimation_1999"/>
    <w:p>
      <w:pPr>
        <w:pStyle w:val="Bibliography"/>
      </w:pPr>
      <w:r>
        <w:t xml:space="preserve">Gijsberts, M. (1999).</w:t>
      </w:r>
      <w:r>
        <w:t xml:space="preserve"> </w:t>
      </w:r>
      <w:r>
        <w:rPr>
          <w:i/>
          <w:iCs/>
        </w:rPr>
        <w:t xml:space="preserve">Thelegitimation of inequality in state- socialist and market societies, 1987 - 1996</w:t>
      </w:r>
      <w:r>
        <w:t xml:space="preserve">. Amsterdam: Thela Thesis.</w:t>
      </w:r>
    </w:p>
    <w:bookmarkEnd w:id="107"/>
    <w:bookmarkStart w:id="109" w:name="ref-gimpelson_misperceiving_2018"/>
    <w:p>
      <w:pPr>
        <w:pStyle w:val="Bibliography"/>
      </w:pPr>
      <w:r>
        <w:t xml:space="preserve">Gimpelson, V., &amp; Treisman, D. (2018). Misperceiving inequality.</w:t>
      </w:r>
      <w:r>
        <w:t xml:space="preserve"> </w:t>
      </w:r>
      <w:r>
        <w:rPr>
          <w:i/>
          <w:iCs/>
        </w:rPr>
        <w:t xml:space="preserve">Economics &amp; Politics</w:t>
      </w:r>
      <w:r>
        <w:t xml:space="preserve">,</w:t>
      </w:r>
      <w:r>
        <w:t xml:space="preserve"> </w:t>
      </w:r>
      <w:r>
        <w:rPr>
          <w:i/>
          <w:iCs/>
        </w:rPr>
        <w:t xml:space="preserve">30</w:t>
      </w:r>
      <w:r>
        <w:t xml:space="preserve">(1), 27–54.</w:t>
      </w:r>
      <w:r>
        <w:t xml:space="preserve"> </w:t>
      </w:r>
      <w:hyperlink r:id="rId108">
        <w:r>
          <w:rPr>
            <w:rStyle w:val="Hyperlink"/>
          </w:rPr>
          <w:t xml:space="preserve">https://doi.org/10.1111/ecpo.12103</w:t>
        </w:r>
      </w:hyperlink>
    </w:p>
    <w:bookmarkEnd w:id="109"/>
    <w:bookmarkStart w:id="111" w:name="ref-hadler_why_2005"/>
    <w:p>
      <w:pPr>
        <w:pStyle w:val="Bibliography"/>
      </w:pPr>
      <w:r>
        <w:t xml:space="preserve">Hadler, M. (2005). Why</w:t>
      </w:r>
      <w:r>
        <w:t xml:space="preserve"> </w:t>
      </w:r>
      <w:r>
        <w:t xml:space="preserve">Do People Accept Different Income Ratios</w:t>
      </w:r>
      <w:r>
        <w:t xml:space="preserve">?:</w:t>
      </w:r>
      <w:r>
        <w:t xml:space="preserve"> </w:t>
      </w:r>
      <w:r>
        <w:t xml:space="preserve">A Multi-level Comparison</w:t>
      </w:r>
      <w:r>
        <w:t xml:space="preserve"> </w:t>
      </w:r>
      <w:r>
        <w:t xml:space="preserve">of</w:t>
      </w:r>
      <w:r>
        <w:t xml:space="preserve"> </w:t>
      </w:r>
      <w:r>
        <w:t xml:space="preserve">Thirty Countries</w:t>
      </w:r>
      <w:r>
        <w:t xml:space="preserve">.</w:t>
      </w:r>
      <w:r>
        <w:t xml:space="preserve"> </w:t>
      </w:r>
      <w:r>
        <w:rPr>
          <w:i/>
          <w:iCs/>
        </w:rPr>
        <w:t xml:space="preserve">Acta Sociologica</w:t>
      </w:r>
      <w:r>
        <w:t xml:space="preserve">,</w:t>
      </w:r>
      <w:r>
        <w:t xml:space="preserve"> </w:t>
      </w:r>
      <w:r>
        <w:rPr>
          <w:i/>
          <w:iCs/>
        </w:rPr>
        <w:t xml:space="preserve">48</w:t>
      </w:r>
      <w:r>
        <w:t xml:space="preserve">(2), 131–154.</w:t>
      </w:r>
      <w:r>
        <w:t xml:space="preserve"> </w:t>
      </w:r>
      <w:hyperlink r:id="rId110">
        <w:r>
          <w:rPr>
            <w:rStyle w:val="Hyperlink"/>
          </w:rPr>
          <w:t xml:space="preserve">https://doi.org/10.1177/0001699305053768</w:t>
        </w:r>
      </w:hyperlink>
    </w:p>
    <w:bookmarkEnd w:id="111"/>
    <w:bookmarkStart w:id="112" w:name="ref-hoxMultilevelAnalysisTechniques2017a"/>
    <w:p>
      <w:pPr>
        <w:pStyle w:val="Bibliography"/>
      </w:pPr>
      <w:r>
        <w:t xml:space="preserve">Hox, J. J., Moerbeek, M., &amp; Van de Schoot, R. (2017).</w:t>
      </w:r>
      <w:r>
        <w:t xml:space="preserve"> </w:t>
      </w:r>
      <w:r>
        <w:rPr>
          <w:i/>
          <w:iCs/>
        </w:rPr>
        <w:t xml:space="preserve">Multilevel</w:t>
      </w:r>
      <w:r>
        <w:rPr>
          <w:i/>
          <w:iCs/>
        </w:rPr>
        <w:t xml:space="preserve"> </w:t>
      </w:r>
      <w:r>
        <w:rPr>
          <w:i/>
          <w:iCs/>
        </w:rPr>
        <w:t xml:space="preserve">Analysis</w:t>
      </w:r>
      <w:r>
        <w:rPr>
          <w:i/>
          <w:iCs/>
        </w:rPr>
        <w:t xml:space="preserve">:</w:t>
      </w:r>
      <w:r>
        <w:rPr>
          <w:i/>
          <w:iCs/>
        </w:rPr>
        <w:t xml:space="preserve"> </w:t>
      </w:r>
      <w:r>
        <w:rPr>
          <w:i/>
          <w:iCs/>
        </w:rPr>
        <w:t xml:space="preserve">Techniques</w:t>
      </w:r>
      <w:r>
        <w:rPr>
          <w:i/>
          <w:iCs/>
        </w:rPr>
        <w:t xml:space="preserve"> </w:t>
      </w:r>
      <w:r>
        <w:rPr>
          <w:i/>
          <w:iCs/>
        </w:rPr>
        <w:t xml:space="preserve">and</w:t>
      </w:r>
      <w:r>
        <w:rPr>
          <w:i/>
          <w:iCs/>
        </w:rPr>
        <w:t xml:space="preserve"> </w:t>
      </w:r>
      <w:r>
        <w:rPr>
          <w:i/>
          <w:iCs/>
        </w:rPr>
        <w:t xml:space="preserve">Applications</w:t>
      </w:r>
      <w:r>
        <w:t xml:space="preserve">.</w:t>
      </w:r>
    </w:p>
    <w:bookmarkEnd w:id="112"/>
    <w:bookmarkStart w:id="114" w:name="ref-hoyt_mindsets_2023"/>
    <w:p>
      <w:pPr>
        <w:pStyle w:val="Bibliography"/>
      </w:pPr>
      <w:r>
        <w:t xml:space="preserve">Hoyt, C. L., Burnette, J. L., Billingsley, J., Becker, W., &amp; Babij, A. D. (2023). Mindsets of poverty:</w:t>
      </w:r>
      <w:r>
        <w:t xml:space="preserve"> </w:t>
      </w:r>
      <w:r>
        <w:t xml:space="preserve">Implications</w:t>
      </w:r>
      <w:r>
        <w:t xml:space="preserve"> </w:t>
      </w:r>
      <w:r>
        <w:t xml:space="preserve">for redistributive policy support.</w:t>
      </w:r>
      <w:r>
        <w:t xml:space="preserve"> </w:t>
      </w:r>
      <w:r>
        <w:rPr>
          <w:i/>
          <w:iCs/>
        </w:rPr>
        <w:t xml:space="preserve">Analyses of Social Issues and Public Policy</w:t>
      </w:r>
      <w:r>
        <w:t xml:space="preserve">,</w:t>
      </w:r>
      <w:r>
        <w:t xml:space="preserve"> </w:t>
      </w:r>
      <w:r>
        <w:rPr>
          <w:i/>
          <w:iCs/>
        </w:rPr>
        <w:t xml:space="preserve">23</w:t>
      </w:r>
      <w:r>
        <w:t xml:space="preserve">(3), 668–693.</w:t>
      </w:r>
      <w:r>
        <w:t xml:space="preserve"> </w:t>
      </w:r>
      <w:hyperlink r:id="rId113">
        <w:r>
          <w:rPr>
            <w:rStyle w:val="Hyperlink"/>
          </w:rPr>
          <w:t xml:space="preserve">https://doi.org/10.1111/asap.12367</w:t>
        </w:r>
      </w:hyperlink>
    </w:p>
    <w:bookmarkEnd w:id="114"/>
    <w:bookmarkStart w:id="116" w:name="ref-immergut_it_2020"/>
    <w:p>
      <w:pPr>
        <w:pStyle w:val="Bibliography"/>
      </w:pPr>
      <w:r>
        <w:t xml:space="preserve">Immergut, E. M., &amp; Schneider, S. M. (2020). Is it unfair for the affluent to be able to purchase</w:t>
      </w:r>
      <w:r>
        <w:t xml:space="preserve"> </w:t>
      </w:r>
      <w:r>
        <w:t xml:space="preserve">“better”</w:t>
      </w:r>
      <w:r>
        <w:t xml:space="preserve"> </w:t>
      </w:r>
      <w:r>
        <w:t xml:space="preserve">healthcare?</w:t>
      </w:r>
      <w:r>
        <w:t xml:space="preserve"> </w:t>
      </w:r>
      <w:r>
        <w:t xml:space="preserve">Existential</w:t>
      </w:r>
      <w:r>
        <w:t xml:space="preserve"> </w:t>
      </w:r>
      <w:r>
        <w:t xml:space="preserve">standards and institutional norms in healthcare attitudes across 28 countries.</w:t>
      </w:r>
      <w:r>
        <w:t xml:space="preserve"> </w:t>
      </w:r>
      <w:r>
        <w:rPr>
          <w:i/>
          <w:iCs/>
        </w:rPr>
        <w:t xml:space="preserve">Social Science &amp; Medicine</w:t>
      </w:r>
      <w:r>
        <w:t xml:space="preserve">,</w:t>
      </w:r>
      <w:r>
        <w:t xml:space="preserve"> </w:t>
      </w:r>
      <w:r>
        <w:rPr>
          <w:i/>
          <w:iCs/>
        </w:rPr>
        <w:t xml:space="preserve">267</w:t>
      </w:r>
      <w:r>
        <w:t xml:space="preserve">, 113146.</w:t>
      </w:r>
      <w:r>
        <w:t xml:space="preserve"> </w:t>
      </w:r>
      <w:hyperlink r:id="rId115">
        <w:r>
          <w:rPr>
            <w:rStyle w:val="Hyperlink"/>
          </w:rPr>
          <w:t xml:space="preserve">https://doi.org/10.1016/j.socscimed.2020.113146</w:t>
        </w:r>
      </w:hyperlink>
    </w:p>
    <w:bookmarkEnd w:id="116"/>
    <w:bookmarkStart w:id="118" w:name="ref-janmaat_subjective_2013"/>
    <w:p>
      <w:pPr>
        <w:pStyle w:val="Bibliography"/>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
          <w:iCs/>
        </w:rPr>
        <w:t xml:space="preserve">Archives Europeennes de Sociologie</w:t>
      </w:r>
      <w:r>
        <w:t xml:space="preserve">,</w:t>
      </w:r>
      <w:r>
        <w:t xml:space="preserve"> </w:t>
      </w:r>
      <w:r>
        <w:rPr>
          <w:i/>
          <w:iCs/>
        </w:rPr>
        <w:t xml:space="preserve">54</w:t>
      </w:r>
      <w:r>
        <w:t xml:space="preserve">(3), 357–389.</w:t>
      </w:r>
      <w:r>
        <w:t xml:space="preserve"> </w:t>
      </w:r>
      <w:hyperlink r:id="rId117">
        <w:r>
          <w:rPr>
            <w:rStyle w:val="Hyperlink"/>
          </w:rPr>
          <w:t xml:space="preserve">https://doi.org/10.1017/S0003975613000209</w:t>
        </w:r>
      </w:hyperlink>
    </w:p>
    <w:bookmarkEnd w:id="118"/>
    <w:bookmarkStart w:id="119" w:name="ref-kluegel_social_1995a"/>
    <w:p>
      <w:pPr>
        <w:pStyle w:val="Bibliography"/>
      </w:pPr>
      <w:r>
        <w:t xml:space="preserve">Kluegel, J. R., Mason, D. S., &amp; Wegener, B. (Eds.). (1995).</w:t>
      </w:r>
      <w:r>
        <w:t xml:space="preserve"> </w:t>
      </w:r>
      <w:r>
        <w:rPr>
          <w:i/>
          <w:iCs/>
        </w:rPr>
        <w:t xml:space="preserve">Social</w:t>
      </w:r>
      <w:r>
        <w:rPr>
          <w:i/>
          <w:iCs/>
        </w:rPr>
        <w:t xml:space="preserve"> </w:t>
      </w:r>
      <w:r>
        <w:rPr>
          <w:i/>
          <w:iCs/>
        </w:rPr>
        <w:t xml:space="preserve">Justice</w:t>
      </w:r>
      <w:r>
        <w:rPr>
          <w:i/>
          <w:iCs/>
        </w:rPr>
        <w:t xml:space="preserve"> </w:t>
      </w:r>
      <w:r>
        <w:rPr>
          <w:i/>
          <w:iCs/>
        </w:rPr>
        <w:t xml:space="preserve">and</w:t>
      </w:r>
      <w:r>
        <w:rPr>
          <w:i/>
          <w:iCs/>
        </w:rPr>
        <w:t xml:space="preserve"> </w:t>
      </w:r>
      <w:r>
        <w:rPr>
          <w:i/>
          <w:iCs/>
        </w:rPr>
        <w:t xml:space="preserve">Political Change</w:t>
      </w:r>
      <w:r>
        <w:rPr>
          <w:i/>
          <w:iCs/>
        </w:rPr>
        <w:t xml:space="preserve">:</w:t>
      </w:r>
      <w:r>
        <w:rPr>
          <w:i/>
          <w:iCs/>
        </w:rPr>
        <w:t xml:space="preserve"> </w:t>
      </w:r>
      <w:r>
        <w:rPr>
          <w:i/>
          <w:iCs/>
        </w:rPr>
        <w:t xml:space="preserve">Public Opinion</w:t>
      </w:r>
      <w:r>
        <w:rPr>
          <w:i/>
          <w:iCs/>
        </w:rPr>
        <w:t xml:space="preserve"> </w:t>
      </w:r>
      <w:r>
        <w:rPr>
          <w:i/>
          <w:iCs/>
        </w:rPr>
        <w:t xml:space="preserve">in</w:t>
      </w:r>
      <w:r>
        <w:rPr>
          <w:i/>
          <w:iCs/>
        </w:rPr>
        <w:t xml:space="preserve"> </w:t>
      </w:r>
      <w:r>
        <w:rPr>
          <w:i/>
          <w:iCs/>
        </w:rPr>
        <w:t xml:space="preserve">Capitalist</w:t>
      </w:r>
      <w:r>
        <w:rPr>
          <w:i/>
          <w:iCs/>
        </w:rPr>
        <w:t xml:space="preserve"> </w:t>
      </w:r>
      <w:r>
        <w:rPr>
          <w:i/>
          <w:iCs/>
        </w:rPr>
        <w:t xml:space="preserve">and</w:t>
      </w:r>
      <w:r>
        <w:rPr>
          <w:i/>
          <w:iCs/>
        </w:rPr>
        <w:t xml:space="preserve"> </w:t>
      </w:r>
      <w:r>
        <w:rPr>
          <w:i/>
          <w:iCs/>
        </w:rPr>
        <w:t xml:space="preserve">Post-Communist States</w:t>
      </w:r>
      <w:r>
        <w:t xml:space="preserve"> </w:t>
      </w:r>
      <w:r>
        <w:t xml:space="preserve">(1st ed.). Routledge.</w:t>
      </w:r>
    </w:p>
    <w:bookmarkEnd w:id="119"/>
    <w:bookmarkStart w:id="121" w:name="ref-kluegel_legitimation_1999"/>
    <w:p>
      <w:pPr>
        <w:pStyle w:val="Bibliography"/>
      </w:pPr>
      <w:r>
        <w:t xml:space="preserve">Kluegel, J. R., Mason, D. S., &amp; Wegener, B. (1999). The</w:t>
      </w:r>
      <w:r>
        <w:t xml:space="preserve"> </w:t>
      </w:r>
      <w:r>
        <w:t xml:space="preserve">Legitimation</w:t>
      </w:r>
      <w:r>
        <w:t xml:space="preserve"> </w:t>
      </w:r>
      <w:r>
        <w:t xml:space="preserve">of</w:t>
      </w:r>
      <w:r>
        <w:t xml:space="preserve"> </w:t>
      </w:r>
      <w:r>
        <w:t xml:space="preserve">Capitalism</w:t>
      </w:r>
      <w:r>
        <w:t xml:space="preserve"> </w:t>
      </w:r>
      <w:r>
        <w:t xml:space="preserve">in the</w:t>
      </w:r>
      <w:r>
        <w:t xml:space="preserve"> </w:t>
      </w:r>
      <w:r>
        <w:t xml:space="preserve">Postcommunist Transition</w:t>
      </w:r>
      <w:r>
        <w:t xml:space="preserve">:</w:t>
      </w:r>
      <w:r>
        <w:t xml:space="preserve"> </w:t>
      </w:r>
      <w:r>
        <w:t xml:space="preserve">Public Opinion</w:t>
      </w:r>
      <w:r>
        <w:t xml:space="preserve"> </w:t>
      </w:r>
      <w:r>
        <w:t xml:space="preserve">about</w:t>
      </w:r>
      <w:r>
        <w:t xml:space="preserve"> </w:t>
      </w:r>
      <w:r>
        <w:t xml:space="preserve">Market Justice</w:t>
      </w:r>
      <w:r>
        <w:t xml:space="preserve">, 1991-1996.</w:t>
      </w:r>
      <w:r>
        <w:t xml:space="preserve"> </w:t>
      </w:r>
      <w:r>
        <w:rPr>
          <w:i/>
          <w:iCs/>
        </w:rPr>
        <w:t xml:space="preserve">European Sociological Review</w:t>
      </w:r>
      <w:r>
        <w:t xml:space="preserve">,</w:t>
      </w:r>
      <w:r>
        <w:t xml:space="preserve"> </w:t>
      </w:r>
      <w:r>
        <w:rPr>
          <w:i/>
          <w:iCs/>
        </w:rPr>
        <w:t xml:space="preserve">15</w:t>
      </w:r>
      <w:r>
        <w:t xml:space="preserve">(3), 251–283. Retrieved from</w:t>
      </w:r>
      <w:r>
        <w:t xml:space="preserve"> </w:t>
      </w:r>
      <w:hyperlink r:id="rId120">
        <w:r>
          <w:rPr>
            <w:rStyle w:val="Hyperlink"/>
          </w:rPr>
          <w:t xml:space="preserve">https://www.jstor.org/stable/522731</w:t>
        </w:r>
      </w:hyperlink>
    </w:p>
    <w:bookmarkEnd w:id="121"/>
    <w:bookmarkStart w:id="122" w:name="ref-kluegel_beliefs_1981"/>
    <w:p>
      <w:pPr>
        <w:pStyle w:val="Bibliography"/>
      </w:pPr>
      <w:r>
        <w:t xml:space="preserve">Kluegel, J. R., &amp; Smith, E. R. (1981). Beliefs</w:t>
      </w:r>
      <w:r>
        <w:t xml:space="preserve"> </w:t>
      </w:r>
      <w:r>
        <w:t xml:space="preserve">About Stratification</w:t>
      </w:r>
      <w:r>
        <w:t xml:space="preserve">.</w:t>
      </w:r>
      <w:r>
        <w:t xml:space="preserve"> </w:t>
      </w:r>
      <w:r>
        <w:rPr>
          <w:i/>
          <w:iCs/>
        </w:rPr>
        <w:t xml:space="preserve">Annual Review of Sociology</w:t>
      </w:r>
      <w:r>
        <w:t xml:space="preserve">, 29–56.</w:t>
      </w:r>
    </w:p>
    <w:bookmarkEnd w:id="122"/>
    <w:bookmarkStart w:id="124" w:name="ref-knell_perceptions_2020"/>
    <w:p>
      <w:pPr>
        <w:pStyle w:val="Bibliography"/>
      </w:pPr>
      <w:r>
        <w:t xml:space="preserve">Knell, M., &amp; Stix, H. (2020). Perceptions of inequality.</w:t>
      </w:r>
      <w:r>
        <w:t xml:space="preserve"> </w:t>
      </w:r>
      <w:r>
        <w:rPr>
          <w:i/>
          <w:iCs/>
        </w:rPr>
        <w:t xml:space="preserve">European Journal of Political Economy</w:t>
      </w:r>
      <w:r>
        <w:t xml:space="preserve">,</w:t>
      </w:r>
      <w:r>
        <w:t xml:space="preserve"> </w:t>
      </w:r>
      <w:r>
        <w:rPr>
          <w:i/>
          <w:iCs/>
        </w:rPr>
        <w:t xml:space="preserve">65</w:t>
      </w:r>
      <w:r>
        <w:t xml:space="preserve">, 101927.</w:t>
      </w:r>
      <w:r>
        <w:t xml:space="preserve"> </w:t>
      </w:r>
      <w:hyperlink r:id="rId123">
        <w:r>
          <w:rPr>
            <w:rStyle w:val="Hyperlink"/>
          </w:rPr>
          <w:t xml:space="preserve">https://doi.org/10.1016/j.ejpoleco.2020.101927</w:t>
        </w:r>
      </w:hyperlink>
    </w:p>
    <w:bookmarkEnd w:id="124"/>
    <w:bookmarkStart w:id="126" w:name="ref-koos_moral_2019"/>
    <w:p>
      <w:pPr>
        <w:pStyle w:val="Bibliography"/>
      </w:pPr>
      <w:r>
        <w:t xml:space="preserve">Koos, S., &amp; Sachweh, P. (2019). The moral economies of market societies: Popular attitudes towards market competition, redistribution and reciprocity in comparative perspective.</w:t>
      </w:r>
      <w:r>
        <w:t xml:space="preserve"> </w:t>
      </w:r>
      <w:r>
        <w:rPr>
          <w:i/>
          <w:iCs/>
        </w:rPr>
        <w:t xml:space="preserve">Socio-Economic Review</w:t>
      </w:r>
      <w:r>
        <w:t xml:space="preserve">,</w:t>
      </w:r>
      <w:r>
        <w:t xml:space="preserve"> </w:t>
      </w:r>
      <w:r>
        <w:rPr>
          <w:i/>
          <w:iCs/>
        </w:rPr>
        <w:t xml:space="preserve">17</w:t>
      </w:r>
      <w:r>
        <w:t xml:space="preserve">(4), 793–821.</w:t>
      </w:r>
      <w:r>
        <w:t xml:space="preserve"> </w:t>
      </w:r>
      <w:hyperlink r:id="rId125">
        <w:r>
          <w:rPr>
            <w:rStyle w:val="Hyperlink"/>
          </w:rPr>
          <w:t xml:space="preserve">https://doi.org/10.1093/ser/mwx045</w:t>
        </w:r>
      </w:hyperlink>
    </w:p>
    <w:bookmarkEnd w:id="126"/>
    <w:bookmarkStart w:id="128" w:name="ref-kuhn_eye_2011"/>
    <w:p>
      <w:pPr>
        <w:pStyle w:val="Bibliography"/>
      </w:pPr>
      <w:r>
        <w:t xml:space="preserve">Kuhn, A. (2011). In the eye of the beholder:</w:t>
      </w:r>
      <w:r>
        <w:t xml:space="preserve"> </w:t>
      </w:r>
      <w:r>
        <w:t xml:space="preserve">Subjective</w:t>
      </w:r>
      <w:r>
        <w:t xml:space="preserve"> </w:t>
      </w:r>
      <w:r>
        <w:t xml:space="preserve">inequality measures and individuals’ assessment of market justice.</w:t>
      </w:r>
      <w:r>
        <w:t xml:space="preserve"> </w:t>
      </w:r>
      <w:r>
        <w:rPr>
          <w:i/>
          <w:iCs/>
        </w:rPr>
        <w:t xml:space="preserve">European Journal of Political Economy</w:t>
      </w:r>
      <w:r>
        <w:t xml:space="preserve">,</w:t>
      </w:r>
      <w:r>
        <w:t xml:space="preserve"> </w:t>
      </w:r>
      <w:r>
        <w:rPr>
          <w:i/>
          <w:iCs/>
        </w:rPr>
        <w:t xml:space="preserve">27</w:t>
      </w:r>
      <w:r>
        <w:t xml:space="preserve">(4), 625–641.</w:t>
      </w:r>
      <w:r>
        <w:t xml:space="preserve"> </w:t>
      </w:r>
      <w:hyperlink r:id="rId127">
        <w:r>
          <w:rPr>
            <w:rStyle w:val="Hyperlink"/>
          </w:rPr>
          <w:t xml:space="preserve">https://doi.org/10.1016/j.ejpoleco.2011.06.002</w:t>
        </w:r>
      </w:hyperlink>
    </w:p>
    <w:bookmarkEnd w:id="128"/>
    <w:bookmarkStart w:id="130" w:name="ref-lane_market_1986"/>
    <w:p>
      <w:pPr>
        <w:pStyle w:val="Bibliography"/>
      </w:pPr>
      <w:r>
        <w:t xml:space="preserve">Lane, R. E. (1986). Market</w:t>
      </w:r>
      <w:r>
        <w:t xml:space="preserve"> </w:t>
      </w:r>
      <w:r>
        <w:t xml:space="preserve">Justice</w:t>
      </w:r>
      <w:r>
        <w:t xml:space="preserve">,</w:t>
      </w:r>
      <w:r>
        <w:t xml:space="preserve"> </w:t>
      </w:r>
      <w:r>
        <w:t xml:space="preserve">Political Justice</w:t>
      </w:r>
      <w:r>
        <w:t xml:space="preserve">.</w:t>
      </w:r>
      <w:r>
        <w:t xml:space="preserve"> </w:t>
      </w:r>
      <w:r>
        <w:rPr>
          <w:i/>
          <w:iCs/>
        </w:rPr>
        <w:t xml:space="preserve">American Political Science Review</w:t>
      </w:r>
      <w:r>
        <w:t xml:space="preserve">,</w:t>
      </w:r>
      <w:r>
        <w:t xml:space="preserve"> </w:t>
      </w:r>
      <w:r>
        <w:rPr>
          <w:i/>
          <w:iCs/>
        </w:rPr>
        <w:t xml:space="preserve">80</w:t>
      </w:r>
      <w:r>
        <w:t xml:space="preserve">(2), 383–402.</w:t>
      </w:r>
      <w:r>
        <w:t xml:space="preserve"> </w:t>
      </w:r>
      <w:hyperlink r:id="rId129">
        <w:r>
          <w:rPr>
            <w:rStyle w:val="Hyperlink"/>
          </w:rPr>
          <w:t xml:space="preserve">https://doi.org/10.2307/1958264</w:t>
        </w:r>
      </w:hyperlink>
    </w:p>
    <w:bookmarkEnd w:id="130"/>
    <w:bookmarkStart w:id="132" w:name="ref-lee_fairness_2023"/>
    <w:p>
      <w:pPr>
        <w:pStyle w:val="Bibliography"/>
      </w:pPr>
      <w:r>
        <w:t xml:space="preserve">Lee, J.-S., &amp; Stacey, M. (2023). Fairness perceptions of educational inequality: The effects of self-interest and neoliberal orientations.</w:t>
      </w:r>
      <w:r>
        <w:t xml:space="preserve"> </w:t>
      </w:r>
      <w:r>
        <w:rPr>
          <w:i/>
          <w:iCs/>
        </w:rPr>
        <w:t xml:space="preserve">The Australian Educational Researcher</w:t>
      </w:r>
      <w:r>
        <w:t xml:space="preserve">.</w:t>
      </w:r>
      <w:r>
        <w:t xml:space="preserve"> </w:t>
      </w:r>
      <w:hyperlink r:id="rId131">
        <w:r>
          <w:rPr>
            <w:rStyle w:val="Hyperlink"/>
          </w:rPr>
          <w:t xml:space="preserve">https://doi.org/10.1007/s13384-023-00636-6</w:t>
        </w:r>
      </w:hyperlink>
    </w:p>
    <w:bookmarkEnd w:id="132"/>
    <w:bookmarkStart w:id="134" w:name="ref-lindh_public_2015"/>
    <w:p>
      <w:pPr>
        <w:pStyle w:val="Bibliography"/>
      </w:pPr>
      <w:r>
        <w:t xml:space="preserve">Lindh, A. (2015). Public</w:t>
      </w:r>
      <w:r>
        <w:t xml:space="preserve"> </w:t>
      </w:r>
      <w:r>
        <w:t xml:space="preserve">Opinion</w:t>
      </w:r>
      <w:r>
        <w:t xml:space="preserve"> </w:t>
      </w:r>
      <w:r>
        <w:t xml:space="preserve">against</w:t>
      </w:r>
      <w:r>
        <w:t xml:space="preserve"> </w:t>
      </w:r>
      <w:r>
        <w:t xml:space="preserve">Markets</w:t>
      </w:r>
      <w:r>
        <w:t xml:space="preserve">?</w:t>
      </w:r>
      <w:r>
        <w:t xml:space="preserve"> </w:t>
      </w:r>
      <w:r>
        <w:t xml:space="preserve">Attitudes</w:t>
      </w:r>
      <w:r>
        <w:t xml:space="preserve"> </w:t>
      </w:r>
      <w:r>
        <w:t xml:space="preserve">towards</w:t>
      </w:r>
      <w:r>
        <w:t xml:space="preserve"> </w:t>
      </w:r>
      <w:r>
        <w:t xml:space="preserve">Market Distribution</w:t>
      </w:r>
      <w:r>
        <w:t xml:space="preserve"> </w:t>
      </w:r>
      <w:r>
        <w:t xml:space="preserve">of</w:t>
      </w:r>
      <w:r>
        <w:t xml:space="preserve"> </w:t>
      </w:r>
      <w:r>
        <w:t xml:space="preserve">Social Services</w:t>
      </w:r>
      <w:r>
        <w:t xml:space="preserve"> </w:t>
      </w:r>
      <w:r>
        <w:t xml:space="preserve">–</w:t>
      </w:r>
      <w:r>
        <w:t xml:space="preserve"> </w:t>
      </w:r>
      <w:r>
        <w:t xml:space="preserve">A Comparison</w:t>
      </w:r>
      <w:r>
        <w:t xml:space="preserve"> </w:t>
      </w:r>
      <w:r>
        <w:t xml:space="preserve">of 17</w:t>
      </w:r>
      <w:r>
        <w:t xml:space="preserve"> </w:t>
      </w:r>
      <w:r>
        <w:t xml:space="preserve">Countries</w:t>
      </w:r>
      <w:r>
        <w:t xml:space="preserve">.</w:t>
      </w:r>
      <w:r>
        <w:t xml:space="preserve"> </w:t>
      </w:r>
      <w:r>
        <w:rPr>
          <w:i/>
          <w:iCs/>
        </w:rPr>
        <w:t xml:space="preserve">Social Policy &amp; Administration</w:t>
      </w:r>
      <w:r>
        <w:t xml:space="preserve">,</w:t>
      </w:r>
      <w:r>
        <w:t xml:space="preserve"> </w:t>
      </w:r>
      <w:r>
        <w:rPr>
          <w:i/>
          <w:iCs/>
        </w:rPr>
        <w:t xml:space="preserve">49</w:t>
      </w:r>
      <w:r>
        <w:t xml:space="preserve">(7), 887–910.</w:t>
      </w:r>
      <w:r>
        <w:t xml:space="preserve"> </w:t>
      </w:r>
      <w:hyperlink r:id="rId133">
        <w:r>
          <w:rPr>
            <w:rStyle w:val="Hyperlink"/>
          </w:rPr>
          <w:t xml:space="preserve">https://doi.org/10.1111/spol.12105</w:t>
        </w:r>
      </w:hyperlink>
    </w:p>
    <w:bookmarkEnd w:id="134"/>
    <w:bookmarkStart w:id="136" w:name="ref-mijs_stratified_2016"/>
    <w:p>
      <w:pPr>
        <w:pStyle w:val="Bibliography"/>
      </w:pPr>
      <w:r>
        <w:t xml:space="preserve">Mijs, J. (2016). Stratified</w:t>
      </w:r>
      <w:r>
        <w:t xml:space="preserve"> </w:t>
      </w:r>
      <w:r>
        <w:t xml:space="preserve">Failure</w:t>
      </w:r>
      <w:r>
        <w:t xml:space="preserve">:</w:t>
      </w:r>
      <w:r>
        <w:t xml:space="preserve"> </w:t>
      </w:r>
      <w:r>
        <w:t xml:space="preserve">Educational Stratification</w:t>
      </w:r>
      <w:r>
        <w:t xml:space="preserve"> </w:t>
      </w:r>
      <w:r>
        <w:t xml:space="preserve">and</w:t>
      </w:r>
      <w:r>
        <w:t xml:space="preserve"> </w:t>
      </w:r>
      <w:r>
        <w:t xml:space="preserve">Students</w:t>
      </w:r>
      <w:r>
        <w:t xml:space="preserve">’</w:t>
      </w:r>
      <w:r>
        <w:t xml:space="preserve"> </w:t>
      </w:r>
      <w:r>
        <w:t xml:space="preserve">Attributions</w:t>
      </w:r>
      <w:r>
        <w:t xml:space="preserve"> </w:t>
      </w:r>
      <w:r>
        <w:t xml:space="preserve">of</w:t>
      </w:r>
      <w:r>
        <w:t xml:space="preserve"> </w:t>
      </w:r>
      <w:r>
        <w:t xml:space="preserve">Their Mathematics Performance</w:t>
      </w:r>
      <w:r>
        <w:t xml:space="preserve"> </w:t>
      </w:r>
      <w:r>
        <w:t xml:space="preserve">in 24</w:t>
      </w:r>
      <w:r>
        <w:t xml:space="preserve"> </w:t>
      </w:r>
      <w:r>
        <w:t xml:space="preserve">Countries</w:t>
      </w:r>
      <w:r>
        <w:t xml:space="preserve">.</w:t>
      </w:r>
      <w:r>
        <w:t xml:space="preserve"> </w:t>
      </w:r>
      <w:r>
        <w:rPr>
          <w:i/>
          <w:iCs/>
        </w:rPr>
        <w:t xml:space="preserve">Sociology of Education</w:t>
      </w:r>
      <w:r>
        <w:t xml:space="preserve">,</w:t>
      </w:r>
      <w:r>
        <w:t xml:space="preserve"> </w:t>
      </w:r>
      <w:r>
        <w:rPr>
          <w:i/>
          <w:iCs/>
        </w:rPr>
        <w:t xml:space="preserve">89</w:t>
      </w:r>
      <w:r>
        <w:t xml:space="preserve">(2), 137–153.</w:t>
      </w:r>
      <w:r>
        <w:t xml:space="preserve"> </w:t>
      </w:r>
      <w:hyperlink r:id="rId135">
        <w:r>
          <w:rPr>
            <w:rStyle w:val="Hyperlink"/>
          </w:rPr>
          <w:t xml:space="preserve">https://doi.org/10.1177/0038040716636434</w:t>
        </w:r>
      </w:hyperlink>
    </w:p>
    <w:bookmarkEnd w:id="136"/>
    <w:bookmarkStart w:id="138" w:name="ref-mijs_paradox_2021"/>
    <w:p>
      <w:pPr>
        <w:pStyle w:val="Bibliography"/>
      </w:pPr>
      <w:r>
        <w:t xml:space="preserve">Mijs, J. (2021). The paradox of inequality: Income inequality and belief in meritocracy go hand in hand.</w:t>
      </w:r>
      <w:r>
        <w:t xml:space="preserve"> </w:t>
      </w:r>
      <w:r>
        <w:rPr>
          <w:i/>
          <w:iCs/>
        </w:rPr>
        <w:t xml:space="preserve">Socio-Economic Review</w:t>
      </w:r>
      <w:r>
        <w:t xml:space="preserve">,</w:t>
      </w:r>
      <w:r>
        <w:t xml:space="preserve"> </w:t>
      </w:r>
      <w:r>
        <w:rPr>
          <w:i/>
          <w:iCs/>
        </w:rPr>
        <w:t xml:space="preserve">19</w:t>
      </w:r>
      <w:r>
        <w:t xml:space="preserve">(1), 7–35.</w:t>
      </w:r>
      <w:r>
        <w:t xml:space="preserve"> </w:t>
      </w:r>
      <w:hyperlink r:id="rId137">
        <w:r>
          <w:rPr>
            <w:rStyle w:val="Hyperlink"/>
          </w:rPr>
          <w:t xml:space="preserve">https://doi.org/10.1093/ser/mwy051</w:t>
        </w:r>
      </w:hyperlink>
    </w:p>
    <w:bookmarkEnd w:id="138"/>
    <w:bookmarkStart w:id="140" w:name="ref-pedersen_attitudes_2019"/>
    <w:p>
      <w:pPr>
        <w:pStyle w:val="Bibliography"/>
      </w:pPr>
      <w:r>
        <w:t xml:space="preserve">Pedersen, R. T., &amp; Mutz, D. C. (2019). Attitudes</w:t>
      </w:r>
      <w:r>
        <w:t xml:space="preserve"> </w:t>
      </w:r>
      <w:r>
        <w:t xml:space="preserve">Toward Economic Inequality</w:t>
      </w:r>
      <w:r>
        <w:t xml:space="preserve">:</w:t>
      </w:r>
      <w:r>
        <w:t xml:space="preserve"> </w:t>
      </w:r>
      <w:r>
        <w:t xml:space="preserve">The Illusory Agreement</w:t>
      </w:r>
      <w:r>
        <w:t xml:space="preserve">.</w:t>
      </w:r>
      <w:r>
        <w:t xml:space="preserve"> </w:t>
      </w:r>
      <w:r>
        <w:rPr>
          <w:i/>
          <w:iCs/>
        </w:rPr>
        <w:t xml:space="preserve">Political Science Research and Methods</w:t>
      </w:r>
      <w:r>
        <w:t xml:space="preserve">,</w:t>
      </w:r>
      <w:r>
        <w:t xml:space="preserve"> </w:t>
      </w:r>
      <w:r>
        <w:rPr>
          <w:i/>
          <w:iCs/>
        </w:rPr>
        <w:t xml:space="preserve">7</w:t>
      </w:r>
      <w:r>
        <w:t xml:space="preserve">(04), 835–851.</w:t>
      </w:r>
      <w:r>
        <w:t xml:space="preserve"> </w:t>
      </w:r>
      <w:hyperlink r:id="rId139">
        <w:r>
          <w:rPr>
            <w:rStyle w:val="Hyperlink"/>
          </w:rPr>
          <w:t xml:space="preserve">https://doi.org/10.1017/psrm.2018.18</w:t>
        </w:r>
      </w:hyperlink>
    </w:p>
    <w:bookmarkEnd w:id="140"/>
    <w:bookmarkStart w:id="142" w:name="ref-reynolds_perceptions_2014"/>
    <w:p>
      <w:pPr>
        <w:pStyle w:val="Bibliography"/>
      </w:pPr>
      <w:r>
        <w:t xml:space="preserve">Reynolds, J., &amp; Xian, H. (2014). Perceptions of meritocracy in the land of opportunity.</w:t>
      </w:r>
      <w:r>
        <w:t xml:space="preserve"> </w:t>
      </w:r>
      <w:r>
        <w:rPr>
          <w:i/>
          <w:iCs/>
        </w:rPr>
        <w:t xml:space="preserve">Research in Social Stratification and Mobility</w:t>
      </w:r>
      <w:r>
        <w:t xml:space="preserve">,</w:t>
      </w:r>
      <w:r>
        <w:t xml:space="preserve"> </w:t>
      </w:r>
      <w:r>
        <w:rPr>
          <w:i/>
          <w:iCs/>
        </w:rPr>
        <w:t xml:space="preserve">36</w:t>
      </w:r>
      <w:r>
        <w:t xml:space="preserve">, 121–137.</w:t>
      </w:r>
      <w:r>
        <w:t xml:space="preserve"> </w:t>
      </w:r>
      <w:hyperlink r:id="rId141">
        <w:r>
          <w:rPr>
            <w:rStyle w:val="Hyperlink"/>
          </w:rPr>
          <w:t xml:space="preserve">https://doi.org/10.1016/j.rssm.2014.03.001</w:t>
        </w:r>
      </w:hyperlink>
    </w:p>
    <w:bookmarkEnd w:id="142"/>
    <w:bookmarkStart w:id="143" w:name="ref-sandel_tyranny_2020"/>
    <w:p>
      <w:pPr>
        <w:pStyle w:val="Bibliography"/>
      </w:pPr>
      <w:r>
        <w:t xml:space="preserve">Sandel, M. J. (2020).</w:t>
      </w:r>
      <w:r>
        <w:t xml:space="preserve"> </w:t>
      </w:r>
      <w:r>
        <w:rPr>
          <w:i/>
          <w:iCs/>
        </w:rPr>
        <w:t xml:space="preserve">The tyranny of merit:</w:t>
      </w:r>
      <w:r>
        <w:rPr>
          <w:i/>
          <w:iCs/>
        </w:rPr>
        <w:t xml:space="preserve"> </w:t>
      </w:r>
      <w:r>
        <w:rPr>
          <w:i/>
          <w:iCs/>
        </w:rPr>
        <w:t xml:space="preserve">What</w:t>
      </w:r>
      <w:r>
        <w:rPr>
          <w:i/>
          <w:iCs/>
        </w:rPr>
        <w:t xml:space="preserve">’s become of the common good?</w:t>
      </w:r>
      <w:r>
        <w:t xml:space="preserve"> </w:t>
      </w:r>
      <w:r>
        <w:t xml:space="preserve">(First edition). New York:</w:t>
      </w:r>
      <w:r>
        <w:t xml:space="preserve"> </w:t>
      </w:r>
      <w:r>
        <w:t xml:space="preserve">Farrar, Straus and Giroux</w:t>
      </w:r>
      <w:r>
        <w:t xml:space="preserve">.</w:t>
      </w:r>
    </w:p>
    <w:bookmarkEnd w:id="143"/>
    <w:bookmarkStart w:id="145" w:name="ref-schneider_poverty_2015"/>
    <w:p>
      <w:pPr>
        <w:pStyle w:val="Bibliography"/>
      </w:pPr>
      <w:r>
        <w:t xml:space="preserve">Schneider, S. M., &amp; Castillo, J. C. (2015). Poverty</w:t>
      </w:r>
      <w:r>
        <w:t xml:space="preserve"> </w:t>
      </w:r>
      <w:r>
        <w:t xml:space="preserve">Attributions</w:t>
      </w:r>
      <w:r>
        <w:t xml:space="preserve"> </w:t>
      </w:r>
      <w:r>
        <w:t xml:space="preserve">and the</w:t>
      </w:r>
      <w:r>
        <w:t xml:space="preserve"> </w:t>
      </w:r>
      <w:r>
        <w:t xml:space="preserve">Perceived Justice</w:t>
      </w:r>
      <w:r>
        <w:t xml:space="preserve"> </w:t>
      </w:r>
      <w:r>
        <w:t xml:space="preserve">of</w:t>
      </w:r>
      <w:r>
        <w:t xml:space="preserve"> </w:t>
      </w:r>
      <w:r>
        <w:t xml:space="preserve">Income Inequality</w:t>
      </w:r>
      <w:r>
        <w:t xml:space="preserve"> </w:t>
      </w:r>
      <w:r>
        <w:t xml:space="preserve">:</w:t>
      </w:r>
      <w:r>
        <w:t xml:space="preserve"> </w:t>
      </w:r>
      <w:r>
        <w:t xml:space="preserve">A Comparison</w:t>
      </w:r>
      <w:r>
        <w:t xml:space="preserve"> </w:t>
      </w:r>
      <w:r>
        <w:t xml:space="preserve">of</w:t>
      </w:r>
      <w:r>
        <w:t xml:space="preserve"> </w:t>
      </w:r>
      <w:r>
        <w:t xml:space="preserve">East</w:t>
      </w:r>
      <w:r>
        <w:t xml:space="preserve"> </w:t>
      </w:r>
      <w:r>
        <w:t xml:space="preserve">and</w:t>
      </w:r>
      <w:r>
        <w:t xml:space="preserve"> </w:t>
      </w:r>
      <w:r>
        <w:t xml:space="preserve">West Germany</w:t>
      </w:r>
      <w:r>
        <w:t xml:space="preserve">.</w:t>
      </w:r>
      <w:r>
        <w:t xml:space="preserve"> </w:t>
      </w:r>
      <w:hyperlink r:id="rId144">
        <w:r>
          <w:rPr>
            <w:rStyle w:val="Hyperlink"/>
          </w:rPr>
          <w:t xml:space="preserve">https://doi.org/10.1177/0190272515589298</w:t>
        </w:r>
      </w:hyperlink>
    </w:p>
    <w:bookmarkEnd w:id="145"/>
    <w:bookmarkStart w:id="147" w:name="ref-schroder_income_2017"/>
    <w:p>
      <w:pPr>
        <w:pStyle w:val="Bibliography"/>
      </w:pPr>
      <w:r>
        <w:t xml:space="preserve">Schröder, M. (2017). Is</w:t>
      </w:r>
      <w:r>
        <w:t xml:space="preserve"> </w:t>
      </w:r>
      <w:r>
        <w:t xml:space="preserve">Income Inequality Related</w:t>
      </w:r>
      <w:r>
        <w:t xml:space="preserve"> </w:t>
      </w:r>
      <w:r>
        <w:t xml:space="preserve">to</w:t>
      </w:r>
      <w:r>
        <w:t xml:space="preserve"> </w:t>
      </w:r>
      <w:r>
        <w:t xml:space="preserve">Tolerance</w:t>
      </w:r>
      <w:r>
        <w:t xml:space="preserve"> </w:t>
      </w:r>
      <w:r>
        <w:t xml:space="preserve">for</w:t>
      </w:r>
      <w:r>
        <w:t xml:space="preserve"> </w:t>
      </w:r>
      <w:r>
        <w:t xml:space="preserve">Inequality</w:t>
      </w:r>
      <w:r>
        <w:t xml:space="preserve">?</w:t>
      </w:r>
      <w:r>
        <w:t xml:space="preserve"> </w:t>
      </w:r>
      <w:r>
        <w:rPr>
          <w:i/>
          <w:iCs/>
        </w:rPr>
        <w:t xml:space="preserve">Social Justice Research</w:t>
      </w:r>
      <w:r>
        <w:t xml:space="preserve">,</w:t>
      </w:r>
      <w:r>
        <w:t xml:space="preserve"> </w:t>
      </w:r>
      <w:r>
        <w:rPr>
          <w:i/>
          <w:iCs/>
        </w:rPr>
        <w:t xml:space="preserve">30</w:t>
      </w:r>
      <w:r>
        <w:t xml:space="preserve">(1), 23–47.</w:t>
      </w:r>
      <w:r>
        <w:t xml:space="preserve"> </w:t>
      </w:r>
      <w:hyperlink r:id="rId146">
        <w:r>
          <w:rPr>
            <w:rStyle w:val="Hyperlink"/>
          </w:rPr>
          <w:t xml:space="preserve">https://doi.org/10.1007/s11211-016-0276-8</w:t>
        </w:r>
      </w:hyperlink>
    </w:p>
    <w:bookmarkEnd w:id="147"/>
    <w:bookmarkStart w:id="148" w:name="ref-singer_applied_2009"/>
    <w:p>
      <w:pPr>
        <w:pStyle w:val="Bibliography"/>
      </w:pPr>
      <w:r>
        <w:t xml:space="preserve">Singer, J. D., &amp; Willett, J. B. (2009).</w:t>
      </w:r>
      <w:r>
        <w:t xml:space="preserve"> </w:t>
      </w:r>
      <w:r>
        <w:rPr>
          <w:i/>
          <w:iCs/>
        </w:rPr>
        <w:t xml:space="preserve">Applied longitudinal data analysis: Modeling change and event occurence</w:t>
      </w:r>
      <w:r>
        <w:t xml:space="preserve">. New York: Oxford University Press, Incorporated.</w:t>
      </w:r>
    </w:p>
    <w:bookmarkEnd w:id="148"/>
    <w:bookmarkStart w:id="150" w:name="ref-svallfors_political_2007"/>
    <w:p>
      <w:pPr>
        <w:pStyle w:val="Bibliography"/>
      </w:pPr>
      <w:r>
        <w:t xml:space="preserve">Svallfors, S. (Ed.). (2007).</w:t>
      </w:r>
      <w:r>
        <w:t xml:space="preserve"> </w:t>
      </w:r>
      <w:r>
        <w:rPr>
          <w:i/>
          <w:iCs/>
        </w:rPr>
        <w:t xml:space="preserve">The</w:t>
      </w:r>
      <w:r>
        <w:rPr>
          <w:i/>
          <w:iCs/>
        </w:rPr>
        <w:t xml:space="preserve"> </w:t>
      </w:r>
      <w:r>
        <w:rPr>
          <w:i/>
          <w:iCs/>
        </w:rPr>
        <w:t xml:space="preserve">Political Sociology</w:t>
      </w:r>
      <w:r>
        <w:rPr>
          <w:i/>
          <w:iCs/>
        </w:rPr>
        <w:t xml:space="preserve"> </w:t>
      </w:r>
      <w:r>
        <w:rPr>
          <w:i/>
          <w:iCs/>
        </w:rPr>
        <w:t xml:space="preserve">of the</w:t>
      </w:r>
      <w:r>
        <w:rPr>
          <w:i/>
          <w:iCs/>
        </w:rPr>
        <w:t xml:space="preserve"> </w:t>
      </w:r>
      <w:r>
        <w:rPr>
          <w:i/>
          <w:iCs/>
        </w:rPr>
        <w:t xml:space="preserve">Welfare State</w:t>
      </w:r>
      <w:r>
        <w:rPr>
          <w:i/>
          <w:iCs/>
        </w:rPr>
        <w:t xml:space="preserve">:</w:t>
      </w:r>
      <w:r>
        <w:rPr>
          <w:i/>
          <w:iCs/>
        </w:rPr>
        <w:t xml:space="preserve"> </w:t>
      </w:r>
      <w:r>
        <w:rPr>
          <w:i/>
          <w:iCs/>
        </w:rPr>
        <w:t xml:space="preserve">Institutions</w:t>
      </w:r>
      <w:r>
        <w:rPr>
          <w:i/>
          <w:iCs/>
        </w:rPr>
        <w:t xml:space="preserve">,</w:t>
      </w:r>
      <w:r>
        <w:rPr>
          <w:i/>
          <w:iCs/>
        </w:rPr>
        <w:t xml:space="preserve"> </w:t>
      </w:r>
      <w:r>
        <w:rPr>
          <w:i/>
          <w:iCs/>
        </w:rPr>
        <w:t xml:space="preserve">Social Cleavages</w:t>
      </w:r>
      <w:r>
        <w:rPr>
          <w:i/>
          <w:iCs/>
        </w:rPr>
        <w:t xml:space="preserve">, and</w:t>
      </w:r>
      <w:r>
        <w:rPr>
          <w:i/>
          <w:iCs/>
        </w:rPr>
        <w:t xml:space="preserve"> </w:t>
      </w:r>
      <w:r>
        <w:rPr>
          <w:i/>
          <w:iCs/>
        </w:rPr>
        <w:t xml:space="preserve">Orientations</w:t>
      </w:r>
      <w:r>
        <w:t xml:space="preserve"> </w:t>
      </w:r>
      <w:r>
        <w:t xml:space="preserve">(1st ed.). Stanford University Press.</w:t>
      </w:r>
      <w:r>
        <w:t xml:space="preserve"> </w:t>
      </w:r>
      <w:hyperlink r:id="rId149">
        <w:r>
          <w:rPr>
            <w:rStyle w:val="Hyperlink"/>
          </w:rPr>
          <w:t xml:space="preserve">https://doi.org/10.2307/j.ctvr0qv0q</w:t>
        </w:r>
      </w:hyperlink>
    </w:p>
    <w:bookmarkEnd w:id="150"/>
    <w:bookmarkStart w:id="152" w:name="ref-tejero-peregrina_perceived_2025"/>
    <w:p>
      <w:pPr>
        <w:pStyle w:val="Bibliography"/>
      </w:pPr>
      <w:r>
        <w:t xml:space="preserve">Tejero-Peregrina, L., Willis, G., Sánchez-Rodríguez, Á., &amp; Rodríguez-Bailón, R. (2025). From</w:t>
      </w:r>
      <w:r>
        <w:t xml:space="preserve"> </w:t>
      </w:r>
      <w:r>
        <w:t xml:space="preserve">Perceived Economic Inequality</w:t>
      </w:r>
      <w:r>
        <w:t xml:space="preserve"> </w:t>
      </w:r>
      <w:r>
        <w:t xml:space="preserve">to</w:t>
      </w:r>
      <w:r>
        <w:t xml:space="preserve"> </w:t>
      </w:r>
      <w:r>
        <w:t xml:space="preserve">Support</w:t>
      </w:r>
      <w:r>
        <w:t xml:space="preserve"> </w:t>
      </w:r>
      <w:r>
        <w:t xml:space="preserve">for</w:t>
      </w:r>
      <w:r>
        <w:t xml:space="preserve"> </w:t>
      </w:r>
      <w:r>
        <w:t xml:space="preserve">Redistribution</w:t>
      </w:r>
      <w:r>
        <w:t xml:space="preserve">:</w:t>
      </w:r>
      <w:r>
        <w:t xml:space="preserve"> </w:t>
      </w:r>
      <w:r>
        <w:t xml:space="preserve">The Role</w:t>
      </w:r>
      <w:r>
        <w:t xml:space="preserve"> </w:t>
      </w:r>
      <w:r>
        <w:t xml:space="preserve">of</w:t>
      </w:r>
      <w:r>
        <w:t xml:space="preserve"> </w:t>
      </w:r>
      <w:r>
        <w:t xml:space="preserve">Meritocracy Perception</w:t>
      </w:r>
      <w:r>
        <w:t xml:space="preserve">.</w:t>
      </w:r>
      <w:r>
        <w:t xml:space="preserve"> </w:t>
      </w:r>
      <w:r>
        <w:rPr>
          <w:i/>
          <w:iCs/>
        </w:rPr>
        <w:t xml:space="preserve">International Review of Social Psychology</w:t>
      </w:r>
      <w:r>
        <w:t xml:space="preserve">,</w:t>
      </w:r>
      <w:r>
        <w:t xml:space="preserve"> </w:t>
      </w:r>
      <w:r>
        <w:rPr>
          <w:i/>
          <w:iCs/>
        </w:rPr>
        <w:t xml:space="preserve">38</w:t>
      </w:r>
      <w:r>
        <w:t xml:space="preserve">(1), 4.</w:t>
      </w:r>
      <w:r>
        <w:t xml:space="preserve"> </w:t>
      </w:r>
      <w:hyperlink r:id="rId151">
        <w:r>
          <w:rPr>
            <w:rStyle w:val="Hyperlink"/>
          </w:rPr>
          <w:t xml:space="preserve">https://doi.org/10.5334/irsp.1013</w:t>
        </w:r>
      </w:hyperlink>
    </w:p>
    <w:bookmarkEnd w:id="152"/>
    <w:bookmarkStart w:id="154" w:name="ref-trump_income_2018"/>
    <w:p>
      <w:pPr>
        <w:pStyle w:val="Bibliography"/>
      </w:pPr>
      <w:r>
        <w:t xml:space="preserve">Trump, K.-S. (2018).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
          <w:iCs/>
        </w:rPr>
        <w:t xml:space="preserve">British Journal of Political Science</w:t>
      </w:r>
      <w:r>
        <w:t xml:space="preserve">,</w:t>
      </w:r>
      <w:r>
        <w:t xml:space="preserve"> </w:t>
      </w:r>
      <w:r>
        <w:rPr>
          <w:i/>
          <w:iCs/>
        </w:rPr>
        <w:t xml:space="preserve">48</w:t>
      </w:r>
      <w:r>
        <w:t xml:space="preserve">(4), 929–952.</w:t>
      </w:r>
      <w:r>
        <w:t xml:space="preserve"> </w:t>
      </w:r>
      <w:hyperlink r:id="rId153">
        <w:r>
          <w:rPr>
            <w:rStyle w:val="Hyperlink"/>
          </w:rPr>
          <w:t xml:space="preserve">https://doi.org/10.1017/S0007123416000326</w:t>
        </w:r>
      </w:hyperlink>
    </w:p>
    <w:bookmarkEnd w:id="154"/>
    <w:bookmarkStart w:id="156" w:name="ref-vondemknesebeck_are_2016"/>
    <w:p>
      <w:pPr>
        <w:pStyle w:val="Bibliography"/>
      </w:pPr>
      <w:r>
        <w:t xml:space="preserve">Von Dem Knesebeck, O., Vonneilich, N., &amp; Kim, T. J. (2016). Are health care inequalities unfair?</w:t>
      </w:r>
      <w:r>
        <w:t xml:space="preserve"> </w:t>
      </w:r>
      <w:r>
        <w:t xml:space="preserve">A</w:t>
      </w:r>
      <w:r>
        <w:t xml:space="preserve"> </w:t>
      </w:r>
      <w:r>
        <w:t xml:space="preserve">study on public attitudes in 23 countries.</w:t>
      </w:r>
      <w:r>
        <w:t xml:space="preserve"> </w:t>
      </w:r>
      <w:r>
        <w:rPr>
          <w:i/>
          <w:iCs/>
        </w:rPr>
        <w:t xml:space="preserve">International Journal for Equity in Health</w:t>
      </w:r>
      <w:r>
        <w:t xml:space="preserve">,</w:t>
      </w:r>
      <w:r>
        <w:t xml:space="preserve"> </w:t>
      </w:r>
      <w:r>
        <w:rPr>
          <w:i/>
          <w:iCs/>
        </w:rPr>
        <w:t xml:space="preserve">15</w:t>
      </w:r>
      <w:r>
        <w:t xml:space="preserve">(1), 61.</w:t>
      </w:r>
      <w:r>
        <w:t xml:space="preserve"> </w:t>
      </w:r>
      <w:hyperlink r:id="rId155">
        <w:r>
          <w:rPr>
            <w:rStyle w:val="Hyperlink"/>
          </w:rPr>
          <w:t xml:space="preserve">https://doi.org/10.1186/s12939-016-0350-8</w:t>
        </w:r>
      </w:hyperlink>
    </w:p>
    <w:bookmarkEnd w:id="156"/>
    <w:bookmarkStart w:id="158" w:name="ref-willis_legitimacy_2015"/>
    <w:p>
      <w:pPr>
        <w:pStyle w:val="Bibliography"/>
      </w:pPr>
      <w:r>
        <w:t xml:space="preserve">Willis, G. B., Rodríguez-Bailón, R., López-Rodríguez, L., &amp; García-Sánchez, E. (2015). Legitimacy</w:t>
      </w:r>
      <w:r>
        <w:t xml:space="preserve"> </w:t>
      </w:r>
      <w:r>
        <w:t xml:space="preserve">Moderates</w:t>
      </w:r>
      <w:r>
        <w:t xml:space="preserve"> </w:t>
      </w:r>
      <w:r>
        <w:t xml:space="preserve">the</w:t>
      </w:r>
      <w:r>
        <w:t xml:space="preserve"> </w:t>
      </w:r>
      <w:r>
        <w:t xml:space="preserve">Relation Between Perceived</w:t>
      </w:r>
      <w:r>
        <w:t xml:space="preserve"> </w:t>
      </w:r>
      <w:r>
        <w:t xml:space="preserve">and</w:t>
      </w:r>
      <w:r>
        <w:t xml:space="preserve"> </w:t>
      </w:r>
      <w:r>
        <w:t xml:space="preserve">Ideal Economic Inequalities</w:t>
      </w:r>
      <w:r>
        <w:t xml:space="preserve">.</w:t>
      </w:r>
      <w:r>
        <w:t xml:space="preserve"> </w:t>
      </w:r>
      <w:r>
        <w:rPr>
          <w:i/>
          <w:iCs/>
        </w:rPr>
        <w:t xml:space="preserve">Social Justice Research</w:t>
      </w:r>
      <w:r>
        <w:t xml:space="preserve">,</w:t>
      </w:r>
      <w:r>
        <w:t xml:space="preserve"> </w:t>
      </w:r>
      <w:r>
        <w:rPr>
          <w:i/>
          <w:iCs/>
        </w:rPr>
        <w:t xml:space="preserve">28</w:t>
      </w:r>
      <w:r>
        <w:t xml:space="preserve">(4), 493–508.</w:t>
      </w:r>
      <w:r>
        <w:t xml:space="preserve"> </w:t>
      </w:r>
      <w:hyperlink r:id="rId157">
        <w:r>
          <w:rPr>
            <w:rStyle w:val="Hyperlink"/>
          </w:rPr>
          <w:t xml:space="preserve">https://doi.org/10.1007/s11211-015-0253-7</w:t>
        </w:r>
      </w:hyperlink>
    </w:p>
    <w:bookmarkEnd w:id="158"/>
    <w:bookmarkStart w:id="160" w:name="ref-wilson_role_2003"/>
    <w:p>
      <w:pPr>
        <w:pStyle w:val="Bibliography"/>
      </w:pPr>
      <w:r>
        <w:t xml:space="preserve">Wilson, C. (2003). The</w:t>
      </w:r>
      <w:r>
        <w:t xml:space="preserve"> </w:t>
      </w:r>
      <w:r>
        <w:t xml:space="preserve">Role</w:t>
      </w:r>
      <w:r>
        <w:t xml:space="preserve"> </w:t>
      </w:r>
      <w:r>
        <w:t xml:space="preserve">of a</w:t>
      </w:r>
      <w:r>
        <w:t xml:space="preserve"> </w:t>
      </w:r>
      <w:r>
        <w:t xml:space="preserve">Merit Principle</w:t>
      </w:r>
      <w:r>
        <w:t xml:space="preserve"> </w:t>
      </w:r>
      <w:r>
        <w:t xml:space="preserve">in</w:t>
      </w:r>
      <w:r>
        <w:t xml:space="preserve"> </w:t>
      </w:r>
      <w:r>
        <w:t xml:space="preserve">Distributive Justice</w:t>
      </w:r>
      <w:r>
        <w:t xml:space="preserve">.</w:t>
      </w:r>
      <w:r>
        <w:t xml:space="preserve"> </w:t>
      </w:r>
      <w:r>
        <w:rPr>
          <w:i/>
          <w:iCs/>
        </w:rPr>
        <w:t xml:space="preserve">The Journal of Ethics</w:t>
      </w:r>
      <w:r>
        <w:t xml:space="preserve">,</w:t>
      </w:r>
      <w:r>
        <w:t xml:space="preserve"> </w:t>
      </w:r>
      <w:r>
        <w:rPr>
          <w:i/>
          <w:iCs/>
        </w:rPr>
        <w:t xml:space="preserve">7</w:t>
      </w:r>
      <w:r>
        <w:t xml:space="preserve">(3), 277–314.</w:t>
      </w:r>
      <w:r>
        <w:t xml:space="preserve"> </w:t>
      </w:r>
      <w:hyperlink r:id="rId159">
        <w:r>
          <w:rPr>
            <w:rStyle w:val="Hyperlink"/>
          </w:rPr>
          <w:t xml:space="preserve">https://doi.org/10.1023/A:1024667228488</w:t>
        </w:r>
      </w:hyperlink>
    </w:p>
    <w:bookmarkEnd w:id="160"/>
    <w:bookmarkStart w:id="161" w:name="ref-young_rise_1962"/>
    <w:p>
      <w:pPr>
        <w:pStyle w:val="Bibliography"/>
      </w:pPr>
      <w:r>
        <w:t xml:space="preserve">Young, M. (1962).</w:t>
      </w:r>
      <w:r>
        <w:t xml:space="preserve"> </w:t>
      </w:r>
      <w:r>
        <w:rPr>
          <w:i/>
          <w:iCs/>
        </w:rPr>
        <w:t xml:space="preserve">The rise of the meritocracy</w:t>
      </w:r>
      <w:r>
        <w:t xml:space="preserve">. Baltimore: Penguin Books.</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hyperlink" Id="rId26" Target="https://coes.cl/encuesta-panel/" TargetMode="External" /><Relationship Type="http://schemas.openxmlformats.org/officeDocument/2006/relationships/hyperlink" Id="rId27" Target="https://dataverse.harvard.edu/dataverse/elsoc" TargetMode="External" /><Relationship Type="http://schemas.openxmlformats.org/officeDocument/2006/relationships/hyperlink" Id="rId77" Target="https://doi.org/10.1007/s11211-011-0144-5" TargetMode="External" /><Relationship Type="http://schemas.openxmlformats.org/officeDocument/2006/relationships/hyperlink" Id="rId157" Target="https://doi.org/10.1007/s11211-015-0253-7" TargetMode="External" /><Relationship Type="http://schemas.openxmlformats.org/officeDocument/2006/relationships/hyperlink" Id="rId146" Target="https://doi.org/10.1007/s11211-016-0276-8" TargetMode="External" /><Relationship Type="http://schemas.openxmlformats.org/officeDocument/2006/relationships/hyperlink" Id="rId105" Target="https://doi.org/10.1007/s11211-018-0317-6" TargetMode="External" /><Relationship Type="http://schemas.openxmlformats.org/officeDocument/2006/relationships/hyperlink" Id="rId131" Target="https://doi.org/10.1007/s13384-023-00636-6" TargetMode="External" /><Relationship Type="http://schemas.openxmlformats.org/officeDocument/2006/relationships/hyperlink" Id="rId127" Target="https://doi.org/10.1016/j.ejpoleco.2011.06.002" TargetMode="External" /><Relationship Type="http://schemas.openxmlformats.org/officeDocument/2006/relationships/hyperlink" Id="rId123" Target="https://doi.org/10.1016/j.ejpoleco.2020.101927" TargetMode="External" /><Relationship Type="http://schemas.openxmlformats.org/officeDocument/2006/relationships/hyperlink" Id="rId97" Target="https://doi.org/10.1016/j.jesp.2020.104019" TargetMode="External" /><Relationship Type="http://schemas.openxmlformats.org/officeDocument/2006/relationships/hyperlink" Id="rId141" Target="https://doi.org/10.1016/j.rssm.2014.03.001" TargetMode="External" /><Relationship Type="http://schemas.openxmlformats.org/officeDocument/2006/relationships/hyperlink" Id="rId115" Target="https://doi.org/10.1016/j.socscimed.2020.113146" TargetMode="External" /><Relationship Type="http://schemas.openxmlformats.org/officeDocument/2006/relationships/hyperlink" Id="rId117" Target="https://doi.org/10.1017/S0003975613000209" TargetMode="External" /><Relationship Type="http://schemas.openxmlformats.org/officeDocument/2006/relationships/hyperlink" Id="rId153" Target="https://doi.org/10.1017/S0007123416000326" TargetMode="External" /><Relationship Type="http://schemas.openxmlformats.org/officeDocument/2006/relationships/hyperlink" Id="rId74" Target="https://doi.org/10.1017/S0007123418000534" TargetMode="External" /><Relationship Type="http://schemas.openxmlformats.org/officeDocument/2006/relationships/hyperlink" Id="rId139" Target="https://doi.org/10.1017/psrm.2018.18" TargetMode="External" /><Relationship Type="http://schemas.openxmlformats.org/officeDocument/2006/relationships/hyperlink" Id="rId159" Target="https://doi.org/10.1023/A:1024667228488" TargetMode="External" /><Relationship Type="http://schemas.openxmlformats.org/officeDocument/2006/relationships/hyperlink" Id="rId81" Target="https://doi.org/10.1080/00207659.2023.2274712" TargetMode="External" /><Relationship Type="http://schemas.openxmlformats.org/officeDocument/2006/relationships/hyperlink" Id="rId65" Target="https://doi.org/10.1080/00343404.2020.1732902" TargetMode="External" /><Relationship Type="http://schemas.openxmlformats.org/officeDocument/2006/relationships/hyperlink" Id="rId79" Target="https://doi.org/10.1080/02134748.2021.2009275" TargetMode="External" /><Relationship Type="http://schemas.openxmlformats.org/officeDocument/2006/relationships/hyperlink" Id="rId93" Target="https://doi.org/10.1093/ser/mwx036" TargetMode="External" /><Relationship Type="http://schemas.openxmlformats.org/officeDocument/2006/relationships/hyperlink" Id="rId125" Target="https://doi.org/10.1093/ser/mwx045" TargetMode="External" /><Relationship Type="http://schemas.openxmlformats.org/officeDocument/2006/relationships/hyperlink" Id="rId137" Target="https://doi.org/10.1093/ser/mwy051" TargetMode="External" /><Relationship Type="http://schemas.openxmlformats.org/officeDocument/2006/relationships/hyperlink" Id="rId113" Target="https://doi.org/10.1111/asap.12367" TargetMode="External" /><Relationship Type="http://schemas.openxmlformats.org/officeDocument/2006/relationships/hyperlink" Id="rId101" Target="https://doi.org/10.1111/bjso.12326" TargetMode="External" /><Relationship Type="http://schemas.openxmlformats.org/officeDocument/2006/relationships/hyperlink" Id="rId108" Target="https://doi.org/10.1111/ecpo.12103" TargetMode="External" /><Relationship Type="http://schemas.openxmlformats.org/officeDocument/2006/relationships/hyperlink" Id="rId95" Target="https://doi.org/10.1111/roiw.12441" TargetMode="External" /><Relationship Type="http://schemas.openxmlformats.org/officeDocument/2006/relationships/hyperlink" Id="rId133" Target="https://doi.org/10.1111/spol.12105" TargetMode="External" /><Relationship Type="http://schemas.openxmlformats.org/officeDocument/2006/relationships/hyperlink" Id="rId110" Target="https://doi.org/10.1177/0001699305053768" TargetMode="External" /><Relationship Type="http://schemas.openxmlformats.org/officeDocument/2006/relationships/hyperlink" Id="rId67" Target="https://doi.org/10.1177/0003122416683393" TargetMode="External" /><Relationship Type="http://schemas.openxmlformats.org/officeDocument/2006/relationships/hyperlink" Id="rId135" Target="https://doi.org/10.1177/0038040716636434" TargetMode="External" /><Relationship Type="http://schemas.openxmlformats.org/officeDocument/2006/relationships/hyperlink" Id="rId144" Target="https://doi.org/10.1177/0190272515589298" TargetMode="External" /><Relationship Type="http://schemas.openxmlformats.org/officeDocument/2006/relationships/hyperlink" Id="rId103" Target="https://doi.org/10.1177/1948550618811500" TargetMode="External" /><Relationship Type="http://schemas.openxmlformats.org/officeDocument/2006/relationships/hyperlink" Id="rId71" Target="https://doi.org/10.1177/19485506221111017" TargetMode="External" /><Relationship Type="http://schemas.openxmlformats.org/officeDocument/2006/relationships/hyperlink" Id="rId155" Target="https://doi.org/10.1186/s12939-016-0350-8" TargetMode="External" /><Relationship Type="http://schemas.openxmlformats.org/officeDocument/2006/relationships/hyperlink" Id="rId69" Target="https://doi.org/10.18637/jss.v067.i01" TargetMode="External" /><Relationship Type="http://schemas.openxmlformats.org/officeDocument/2006/relationships/hyperlink" Id="rId129" Target="https://doi.org/10.2307/1958264" TargetMode="External" /><Relationship Type="http://schemas.openxmlformats.org/officeDocument/2006/relationships/hyperlink" Id="rId149" Target="https://doi.org/10.2307/j.ctvr0qv0q" TargetMode="External" /><Relationship Type="http://schemas.openxmlformats.org/officeDocument/2006/relationships/hyperlink" Id="rId85" Target="https://doi.org/10.3390/soc14110214" TargetMode="External" /><Relationship Type="http://schemas.openxmlformats.org/officeDocument/2006/relationships/hyperlink" Id="rId89" Target="https://doi.org/10.35188/UNU-WIDER/2021/981-5" TargetMode="External" /><Relationship Type="http://schemas.openxmlformats.org/officeDocument/2006/relationships/hyperlink" Id="rId99" Target="https://doi.org/10.3989/ris.2022.80.3.21.29" TargetMode="External" /><Relationship Type="http://schemas.openxmlformats.org/officeDocument/2006/relationships/hyperlink" Id="rId83" Target="https://doi.org/10.4067/S0718-22282012000100007" TargetMode="External" /><Relationship Type="http://schemas.openxmlformats.org/officeDocument/2006/relationships/hyperlink" Id="rId151" Target="https://doi.org/10.5334/irsp.1013" TargetMode="External" /><Relationship Type="http://schemas.openxmlformats.org/officeDocument/2006/relationships/hyperlink" Id="rId91" Target="https://doi.org/10.7910/dvn/0kirbj" TargetMode="External" /><Relationship Type="http://schemas.openxmlformats.org/officeDocument/2006/relationships/hyperlink" Id="rId120" Target="https://www.jstor.org/stable/522731" TargetMode="External" /></Relationships>
</file>

<file path=word/_rels/footnotes.xml.rels><?xml version="1.0" encoding="UTF-8"?><Relationships xmlns="http://schemas.openxmlformats.org/package/2006/relationships"><Relationship Type="http://schemas.openxmlformats.org/officeDocument/2006/relationships/hyperlink" Id="rId26" Target="https://coes.cl/encuesta-panel/" TargetMode="External" /><Relationship Type="http://schemas.openxmlformats.org/officeDocument/2006/relationships/hyperlink" Id="rId27" Target="https://dataverse.harvard.edu/dataverse/elsoc" TargetMode="External" /><Relationship Type="http://schemas.openxmlformats.org/officeDocument/2006/relationships/hyperlink" Id="rId77" Target="https://doi.org/10.1007/s11211-011-0144-5" TargetMode="External" /><Relationship Type="http://schemas.openxmlformats.org/officeDocument/2006/relationships/hyperlink" Id="rId157" Target="https://doi.org/10.1007/s11211-015-0253-7" TargetMode="External" /><Relationship Type="http://schemas.openxmlformats.org/officeDocument/2006/relationships/hyperlink" Id="rId146" Target="https://doi.org/10.1007/s11211-016-0276-8" TargetMode="External" /><Relationship Type="http://schemas.openxmlformats.org/officeDocument/2006/relationships/hyperlink" Id="rId105" Target="https://doi.org/10.1007/s11211-018-0317-6" TargetMode="External" /><Relationship Type="http://schemas.openxmlformats.org/officeDocument/2006/relationships/hyperlink" Id="rId131" Target="https://doi.org/10.1007/s13384-023-00636-6" TargetMode="External" /><Relationship Type="http://schemas.openxmlformats.org/officeDocument/2006/relationships/hyperlink" Id="rId127" Target="https://doi.org/10.1016/j.ejpoleco.2011.06.002" TargetMode="External" /><Relationship Type="http://schemas.openxmlformats.org/officeDocument/2006/relationships/hyperlink" Id="rId123" Target="https://doi.org/10.1016/j.ejpoleco.2020.101927" TargetMode="External" /><Relationship Type="http://schemas.openxmlformats.org/officeDocument/2006/relationships/hyperlink" Id="rId97" Target="https://doi.org/10.1016/j.jesp.2020.104019" TargetMode="External" /><Relationship Type="http://schemas.openxmlformats.org/officeDocument/2006/relationships/hyperlink" Id="rId141" Target="https://doi.org/10.1016/j.rssm.2014.03.001" TargetMode="External" /><Relationship Type="http://schemas.openxmlformats.org/officeDocument/2006/relationships/hyperlink" Id="rId115" Target="https://doi.org/10.1016/j.socscimed.2020.113146" TargetMode="External" /><Relationship Type="http://schemas.openxmlformats.org/officeDocument/2006/relationships/hyperlink" Id="rId117" Target="https://doi.org/10.1017/S0003975613000209" TargetMode="External" /><Relationship Type="http://schemas.openxmlformats.org/officeDocument/2006/relationships/hyperlink" Id="rId153" Target="https://doi.org/10.1017/S0007123416000326" TargetMode="External" /><Relationship Type="http://schemas.openxmlformats.org/officeDocument/2006/relationships/hyperlink" Id="rId74" Target="https://doi.org/10.1017/S0007123418000534" TargetMode="External" /><Relationship Type="http://schemas.openxmlformats.org/officeDocument/2006/relationships/hyperlink" Id="rId139" Target="https://doi.org/10.1017/psrm.2018.18" TargetMode="External" /><Relationship Type="http://schemas.openxmlformats.org/officeDocument/2006/relationships/hyperlink" Id="rId159" Target="https://doi.org/10.1023/A:1024667228488" TargetMode="External" /><Relationship Type="http://schemas.openxmlformats.org/officeDocument/2006/relationships/hyperlink" Id="rId81" Target="https://doi.org/10.1080/00207659.2023.2274712" TargetMode="External" /><Relationship Type="http://schemas.openxmlformats.org/officeDocument/2006/relationships/hyperlink" Id="rId65" Target="https://doi.org/10.1080/00343404.2020.1732902" TargetMode="External" /><Relationship Type="http://schemas.openxmlformats.org/officeDocument/2006/relationships/hyperlink" Id="rId79" Target="https://doi.org/10.1080/02134748.2021.2009275" TargetMode="External" /><Relationship Type="http://schemas.openxmlformats.org/officeDocument/2006/relationships/hyperlink" Id="rId93" Target="https://doi.org/10.1093/ser/mwx036" TargetMode="External" /><Relationship Type="http://schemas.openxmlformats.org/officeDocument/2006/relationships/hyperlink" Id="rId125" Target="https://doi.org/10.1093/ser/mwx045" TargetMode="External" /><Relationship Type="http://schemas.openxmlformats.org/officeDocument/2006/relationships/hyperlink" Id="rId137" Target="https://doi.org/10.1093/ser/mwy051" TargetMode="External" /><Relationship Type="http://schemas.openxmlformats.org/officeDocument/2006/relationships/hyperlink" Id="rId113" Target="https://doi.org/10.1111/asap.12367" TargetMode="External" /><Relationship Type="http://schemas.openxmlformats.org/officeDocument/2006/relationships/hyperlink" Id="rId101" Target="https://doi.org/10.1111/bjso.12326" TargetMode="External" /><Relationship Type="http://schemas.openxmlformats.org/officeDocument/2006/relationships/hyperlink" Id="rId108" Target="https://doi.org/10.1111/ecpo.12103" TargetMode="External" /><Relationship Type="http://schemas.openxmlformats.org/officeDocument/2006/relationships/hyperlink" Id="rId95" Target="https://doi.org/10.1111/roiw.12441" TargetMode="External" /><Relationship Type="http://schemas.openxmlformats.org/officeDocument/2006/relationships/hyperlink" Id="rId133" Target="https://doi.org/10.1111/spol.12105" TargetMode="External" /><Relationship Type="http://schemas.openxmlformats.org/officeDocument/2006/relationships/hyperlink" Id="rId110" Target="https://doi.org/10.1177/0001699305053768" TargetMode="External" /><Relationship Type="http://schemas.openxmlformats.org/officeDocument/2006/relationships/hyperlink" Id="rId67" Target="https://doi.org/10.1177/0003122416683393" TargetMode="External" /><Relationship Type="http://schemas.openxmlformats.org/officeDocument/2006/relationships/hyperlink" Id="rId135" Target="https://doi.org/10.1177/0038040716636434" TargetMode="External" /><Relationship Type="http://schemas.openxmlformats.org/officeDocument/2006/relationships/hyperlink" Id="rId144" Target="https://doi.org/10.1177/0190272515589298" TargetMode="External" /><Relationship Type="http://schemas.openxmlformats.org/officeDocument/2006/relationships/hyperlink" Id="rId103" Target="https://doi.org/10.1177/1948550618811500" TargetMode="External" /><Relationship Type="http://schemas.openxmlformats.org/officeDocument/2006/relationships/hyperlink" Id="rId71" Target="https://doi.org/10.1177/19485506221111017" TargetMode="External" /><Relationship Type="http://schemas.openxmlformats.org/officeDocument/2006/relationships/hyperlink" Id="rId155" Target="https://doi.org/10.1186/s12939-016-0350-8" TargetMode="External" /><Relationship Type="http://schemas.openxmlformats.org/officeDocument/2006/relationships/hyperlink" Id="rId69" Target="https://doi.org/10.18637/jss.v067.i01" TargetMode="External" /><Relationship Type="http://schemas.openxmlformats.org/officeDocument/2006/relationships/hyperlink" Id="rId129" Target="https://doi.org/10.2307/1958264" TargetMode="External" /><Relationship Type="http://schemas.openxmlformats.org/officeDocument/2006/relationships/hyperlink" Id="rId149" Target="https://doi.org/10.2307/j.ctvr0qv0q" TargetMode="External" /><Relationship Type="http://schemas.openxmlformats.org/officeDocument/2006/relationships/hyperlink" Id="rId85" Target="https://doi.org/10.3390/soc14110214" TargetMode="External" /><Relationship Type="http://schemas.openxmlformats.org/officeDocument/2006/relationships/hyperlink" Id="rId89" Target="https://doi.org/10.35188/UNU-WIDER/2021/981-5" TargetMode="External" /><Relationship Type="http://schemas.openxmlformats.org/officeDocument/2006/relationships/hyperlink" Id="rId99" Target="https://doi.org/10.3989/ris.2022.80.3.21.29" TargetMode="External" /><Relationship Type="http://schemas.openxmlformats.org/officeDocument/2006/relationships/hyperlink" Id="rId83" Target="https://doi.org/10.4067/S0718-22282012000100007" TargetMode="External" /><Relationship Type="http://schemas.openxmlformats.org/officeDocument/2006/relationships/hyperlink" Id="rId151" Target="https://doi.org/10.5334/irsp.1013" TargetMode="External" /><Relationship Type="http://schemas.openxmlformats.org/officeDocument/2006/relationships/hyperlink" Id="rId91" Target="https://doi.org/10.7910/dvn/0kirbj" TargetMode="External" /><Relationship Type="http://schemas.openxmlformats.org/officeDocument/2006/relationships/hyperlink" Id="rId120" Target="https://www.jstor.org/stable/5227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Perceptions of Inequality and Meritocracy: Their Interplay in Shaping Preferences for Market Justice in Chile (2016-2023)</dc:title>
  <dc:creator>Equipo EDUMER</dc:creator>
  <cp:keywords/>
  <dcterms:created xsi:type="dcterms:W3CDTF">2025-05-21T16:51:00Z</dcterms:created>
  <dcterms:modified xsi:type="dcterms:W3CDTF">2025-05-21T16:51:00Z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investigates the relationship between perceptions of economic inequality, meritocratic beliefs, and preferences for market justice in Chile between 2016 and 2023. Using six waves of panel data from the Chilean Longitudinal Social Survey (ELSOC; N = 1,519), the analysis examines how subjective assessments of inequality shape attitudes toward the role of merit in access to key social services such as healthcare, education, and pensions. Results indicate that rising perceptions of inequality are associated with greater support for redistributive policies; however, individuals with strong meritocratic convictions are more likely to legitimize existing disparities. The study also considers the influence of major social movements during this period, which appear to have reshaped public discourse and perceptions of fairness. These findings contribute to a deeper understanding of how beliefs about justice and equity evolve in contexts marked by persistent inequality and entrenched market-oriented frameworks.  Keywords: Economic inequality, meritocracy, market justice, Chile, public preferences, inequality perception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input/bib/merit-edjust.bib</vt:lpwstr>
  </property>
  <property fmtid="{D5CDD505-2E9C-101B-9397-08002B2CF9AE}" pid="7" name="by-affiliation">
    <vt:lpwstr/>
  </property>
  <property fmtid="{D5CDD505-2E9C-101B-9397-08002B2CF9AE}" pid="8" name="by-author">
    <vt:lpwstr/>
  </property>
  <property fmtid="{D5CDD505-2E9C-101B-9397-08002B2CF9AE}" pid="9" name="colorlinks">
    <vt:lpwstr>True</vt:lpwstr>
  </property>
  <property fmtid="{D5CDD505-2E9C-101B-9397-08002B2CF9AE}" pid="10" name="csl">
    <vt:lpwstr>input/bib/apa6.csl</vt:lpwstr>
  </property>
  <property fmtid="{D5CDD505-2E9C-101B-9397-08002B2CF9AE}" pid="11" name="editor">
    <vt:lpwstr>source</vt:lpwstr>
  </property>
  <property fmtid="{D5CDD505-2E9C-101B-9397-08002B2CF9AE}" pid="12" name="fontsize">
    <vt:lpwstr>12pt</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estretch">
    <vt:lpwstr>1.15</vt:lpwstr>
  </property>
  <property fmtid="{D5CDD505-2E9C-101B-9397-08002B2CF9AE}" pid="18" name="link-citations">
    <vt:lpwstr>True</vt:lpwstr>
  </property>
  <property fmtid="{D5CDD505-2E9C-101B-9397-08002B2CF9AE}" pid="19" name="mainfont">
    <vt:lpwstr>Times New Roman</vt:lpwstr>
  </property>
  <property fmtid="{D5CDD505-2E9C-101B-9397-08002B2CF9AE}" pid="20" name="toc-title">
    <vt:lpwstr>Table of contents</vt:lpwstr>
  </property>
</Properties>
</file>