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TotalEnergies Rwizi</w:t>
      </w:r>
    </w:p>
    <w:p>
      <w:pPr>
        <w:jc w:val="center"/>
      </w:pPr>
      <w:r>
        <w:rPr>
          <w:color w:val="888888"/>
          <w:sz w:val="26"/>
        </w:rPr>
        <w:t>Mbarara, Uganda</w:t>
      </w:r>
    </w:p>
    <w:p/>
    <w:p>
      <w:pPr>
        <w:jc w:val="center"/>
      </w:pPr>
      <w:r>
        <w:rPr>
          <w:b/>
          <w:color w:val="C8102E"/>
          <w:sz w:val="28"/>
        </w:rPr>
        <w:t>OPERATIONAL PERFORMANCE REPORT</w:t>
      </w:r>
    </w:p>
    <w:p>
      <w:pPr>
        <w:jc w:val="center"/>
      </w:pPr>
      <w:r>
        <w:rPr>
          <w:b/>
          <w:color w:val="1A1A2E"/>
          <w:sz w:val="40"/>
        </w:rPr>
        <w:t>APRIL 2026 20260526</w:t>
      </w:r>
    </w:p>
    <w:p/>
    <w:p>
      <w:pPr>
        <w:jc w:val="center"/>
      </w:pPr>
      <w:r>
        <w:rPr>
          <w:color w:val="888888"/>
          <w:sz w:val="20"/>
        </w:rPr>
        <w:t>Generated: 26 May 2026</w:t>
      </w:r>
    </w:p>
    <w:p>
      <w:pPr>
        <w:jc w:val="center"/>
      </w:pPr>
      <w:r>
        <w:rPr>
          <w:color w:val="888888"/>
          <w:sz w:val="20"/>
        </w:rPr>
        <w:t>Prepared by: StationDeck AI System</w:t>
      </w:r>
    </w:p>
    <w:p>
      <w:r>
        <w:br w:type="page"/>
      </w:r>
    </w:p>
    <w:p>
      <w:pPr>
        <w:spacing w:before="280" w:after="80"/>
      </w:pPr>
      <w:r>
        <w:rPr>
          <w:b/>
          <w:color w:val="C8102E"/>
          <w:sz w:val="24"/>
        </w:rPr>
        <w:t>EXECUTIVE SUMMARY</w:t>
      </w:r>
    </w:p>
    <w:p>
      <w:pPr>
        <w:spacing w:after="120"/>
      </w:pPr>
      <w:r>
        <w:rPr>
          <w:color w:val="222222"/>
          <w:sz w:val="20"/>
        </w:rPr>
        <w:t>The station recorded a total revenue of UGX 968,680,417 for the period of April 2026, reflecting consistent operational performance across all product categories. Fuel sales remained the primary revenue driver, contributing UGX 913,735,117 to the overall figure, with both PMS and AGO products performing within expected operational ranges. The station maintained a balanced payment collection profile, with cashless transactions accounting for 55.7% of total collections and cash transactions representing 44.3% of the period total. Cash reconciliation for the period closed with a surplus position. After accounting for all expenses and dealer obligations, the net profit for the period was UGX 40,266,350, with a reserve balance of UGX 17,229,059 remaining after all commitments. Overall, April 2026 represents a stable operational period with revenue performance in line with expectations for a station of this scale and activity level.</w:t>
      </w:r>
    </w:p>
    <w:p>
      <w:pPr>
        <w:spacing w:before="280" w:after="80"/>
      </w:pPr>
      <w:r>
        <w:rPr>
          <w:b/>
          <w:color w:val="C8102E"/>
          <w:sz w:val="24"/>
        </w:rPr>
        <w:t>FUEL PERFORMANCE SUMMARY</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1A2E"/>
          </w:tcPr>
          <w:p>
            <w:r/>
            <w:r>
              <w:rPr>
                <w:b/>
                <w:color w:val="FFFFFF"/>
                <w:sz w:val="18"/>
              </w:rPr>
              <w:t>Metric</w:t>
            </w:r>
          </w:p>
        </w:tc>
        <w:tc>
          <w:tcPr>
            <w:tcW w:type="dxa" w:w="3324"/>
            <w:shd w:val="clear" w:color="auto" w:fill="1A1A2E"/>
          </w:tcPr>
          <w:p>
            <w:r/>
            <w:r>
              <w:rPr>
                <w:b/>
                <w:color w:val="FFFFFF"/>
                <w:sz w:val="18"/>
              </w:rPr>
              <w:t>PMS (Petrol)</w:t>
            </w:r>
          </w:p>
        </w:tc>
        <w:tc>
          <w:tcPr>
            <w:tcW w:type="dxa" w:w="3324"/>
            <w:shd w:val="clear" w:color="auto" w:fill="1A1A2E"/>
          </w:tcPr>
          <w:p>
            <w:r/>
            <w:r>
              <w:rPr>
                <w:b/>
                <w:color w:val="FFFFFF"/>
                <w:sz w:val="18"/>
              </w:rPr>
              <w:t>AGO (Diesel)</w:t>
            </w:r>
          </w:p>
        </w:tc>
      </w:tr>
      <w:tr>
        <w:tc>
          <w:tcPr>
            <w:tcW w:type="dxa" w:w="3324"/>
            <w:shd w:val="clear" w:color="auto" w:fill="F5F5F5"/>
          </w:tcPr>
          <w:p>
            <w:r/>
            <w:r>
              <w:rPr>
                <w:sz w:val="18"/>
              </w:rPr>
              <w:t>Volume Sold</w:t>
            </w:r>
          </w:p>
        </w:tc>
        <w:tc>
          <w:tcPr>
            <w:tcW w:type="dxa" w:w="3324"/>
            <w:shd w:val="clear" w:color="auto" w:fill="F5F5F5"/>
          </w:tcPr>
          <w:p>
            <w:r/>
            <w:r>
              <w:rPr>
                <w:sz w:val="18"/>
              </w:rPr>
              <w:t>65,198 L</w:t>
            </w:r>
          </w:p>
        </w:tc>
        <w:tc>
          <w:tcPr>
            <w:tcW w:type="dxa" w:w="3324"/>
            <w:shd w:val="clear" w:color="auto" w:fill="F5F5F5"/>
          </w:tcPr>
          <w:p>
            <w:r/>
            <w:r>
              <w:rPr>
                <w:sz w:val="18"/>
              </w:rPr>
              <w:t>105,913 L</w:t>
            </w:r>
          </w:p>
        </w:tc>
      </w:tr>
      <w:tr>
        <w:tc>
          <w:tcPr>
            <w:tcW w:type="dxa" w:w="3324"/>
            <w:shd w:val="clear" w:color="auto" w:fill="FFFFFF"/>
          </w:tcPr>
          <w:p>
            <w:r/>
            <w:r>
              <w:rPr>
                <w:sz w:val="18"/>
              </w:rPr>
              <w:t>Revenue</w:t>
            </w:r>
          </w:p>
        </w:tc>
        <w:tc>
          <w:tcPr>
            <w:tcW w:type="dxa" w:w="3324"/>
            <w:shd w:val="clear" w:color="auto" w:fill="FFFFFF"/>
          </w:tcPr>
          <w:p>
            <w:r/>
            <w:r>
              <w:rPr>
                <w:sz w:val="18"/>
              </w:rPr>
              <w:t>UGX 358,755,029</w:t>
            </w:r>
          </w:p>
        </w:tc>
        <w:tc>
          <w:tcPr>
            <w:tcW w:type="dxa" w:w="3324"/>
            <w:shd w:val="clear" w:color="auto" w:fill="FFFFFF"/>
          </w:tcPr>
          <w:p>
            <w:r/>
            <w:r>
              <w:rPr>
                <w:sz w:val="18"/>
              </w:rPr>
              <w:t>UGX 554,980,088</w:t>
            </w:r>
          </w:p>
        </w:tc>
      </w:tr>
      <w:tr>
        <w:tc>
          <w:tcPr>
            <w:tcW w:type="dxa" w:w="3324"/>
            <w:shd w:val="clear" w:color="auto" w:fill="F5F5F5"/>
          </w:tcPr>
          <w:p>
            <w:r/>
            <w:r>
              <w:rPr>
                <w:sz w:val="18"/>
              </w:rPr>
              <w:t>Combined Revenue</w:t>
            </w:r>
          </w:p>
        </w:tc>
        <w:tc>
          <w:tcPr>
            <w:tcW w:type="dxa" w:w="3324"/>
            <w:shd w:val="clear" w:color="auto" w:fill="F5F5F5"/>
          </w:tcPr>
          <w:p>
            <w:r/>
            <w:r>
              <w:rPr>
                <w:sz w:val="18"/>
              </w:rPr>
            </w:r>
          </w:p>
        </w:tc>
        <w:tc>
          <w:tcPr>
            <w:tcW w:type="dxa" w:w="3324"/>
            <w:shd w:val="clear" w:color="auto" w:fill="F5F5F5"/>
          </w:tcPr>
          <w:p>
            <w:r/>
            <w:r>
              <w:rPr>
                <w:sz w:val="18"/>
              </w:rPr>
              <w:t>UGX 913,735,117</w:t>
            </w:r>
          </w:p>
        </w:tc>
      </w:tr>
    </w:tbl>
    <w:p/>
    <w:p>
      <w:pPr>
        <w:spacing w:after="120"/>
      </w:pPr>
      <w:r>
        <w:rPr>
          <w:color w:val="222222"/>
          <w:sz w:val="20"/>
        </w:rPr>
        <w:t>Fuel sales for April 2026 were anchored by both PMS (petrol) and AGO (diesel) product lines. PMS volumes reached 65,198.80 litres over the 30-day operating period, while AGO volumes totalled 105,913.38 litres, reflecting the station's dual-market position serving both private motorists and commercial transport operators. The total fuel revenue of UGX 913,735,117 demonstrates the station's capacity to sustain high throughput across both product categories simultaneously. Fuel stock reconciliation recorded a PMS loss/gain of -249.16 litres and an AGO loss/gain of -52.23 litres for the period. These figures should be reviewed against the acceptable variance thresholds set by TotalEnergies Uganda to determine whether any investigation is warranted.</w:t>
      </w:r>
    </w:p>
    <w:p>
      <w:pPr>
        <w:spacing w:before="280" w:after="80"/>
      </w:pPr>
      <w:r>
        <w:rPr>
          <w:b/>
          <w:color w:val="C8102E"/>
          <w:sz w:val="24"/>
        </w:rPr>
        <w:t>PAYMENT COLLECTION BREAKDOWN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1A2E"/>
          </w:tcPr>
          <w:p>
            <w:r/>
            <w:r>
              <w:rPr>
                <w:b/>
                <w:color w:val="FFFFFF"/>
                <w:sz w:val="18"/>
              </w:rPr>
              <w:t>Payment Type</w:t>
            </w:r>
          </w:p>
        </w:tc>
        <w:tc>
          <w:tcPr>
            <w:tcW w:type="dxa" w:w="3324"/>
            <w:shd w:val="clear" w:color="auto" w:fill="1A1A2E"/>
          </w:tcPr>
          <w:p>
            <w:r/>
            <w:r>
              <w:rPr>
                <w:b/>
                <w:color w:val="FFFFFF"/>
                <w:sz w:val="18"/>
              </w:rPr>
              <w:t>Amount</w:t>
            </w:r>
          </w:p>
        </w:tc>
        <w:tc>
          <w:tcPr>
            <w:tcW w:type="dxa" w:w="3324"/>
            <w:shd w:val="clear" w:color="auto" w:fill="1A1A2E"/>
          </w:tcPr>
          <w:p>
            <w:r/>
            <w:r>
              <w:rPr>
                <w:b/>
                <w:color w:val="FFFFFF"/>
                <w:sz w:val="18"/>
              </w:rPr>
              <w:t>Share</w:t>
            </w:r>
          </w:p>
        </w:tc>
      </w:tr>
      <w:tr>
        <w:tc>
          <w:tcPr>
            <w:tcW w:type="dxa" w:w="3324"/>
            <w:shd w:val="clear" w:color="auto" w:fill="F5F5F5"/>
          </w:tcPr>
          <w:p>
            <w:r/>
            <w:r>
              <w:rPr>
                <w:sz w:val="18"/>
              </w:rPr>
              <w:t>Cash Collected</w:t>
            </w:r>
          </w:p>
        </w:tc>
        <w:tc>
          <w:tcPr>
            <w:tcW w:type="dxa" w:w="3324"/>
            <w:shd w:val="clear" w:color="auto" w:fill="F5F5F5"/>
          </w:tcPr>
          <w:p>
            <w:r/>
            <w:r>
              <w:rPr>
                <w:sz w:val="18"/>
              </w:rPr>
              <w:t>UGX 457,987,904</w:t>
            </w:r>
          </w:p>
        </w:tc>
        <w:tc>
          <w:tcPr>
            <w:tcW w:type="dxa" w:w="3324"/>
            <w:shd w:val="clear" w:color="auto" w:fill="F5F5F5"/>
          </w:tcPr>
          <w:p>
            <w:r/>
            <w:r>
              <w:rPr>
                <w:sz w:val="18"/>
              </w:rPr>
              <w:t>44.3%</w:t>
            </w:r>
          </w:p>
        </w:tc>
      </w:tr>
      <w:tr>
        <w:tc>
          <w:tcPr>
            <w:tcW w:type="dxa" w:w="3324"/>
            <w:shd w:val="clear" w:color="auto" w:fill="FFFFFF"/>
          </w:tcPr>
          <w:p>
            <w:r/>
            <w:r>
              <w:rPr>
                <w:sz w:val="18"/>
              </w:rPr>
              <w:t>Cashless Total</w:t>
            </w:r>
          </w:p>
        </w:tc>
        <w:tc>
          <w:tcPr>
            <w:tcW w:type="dxa" w:w="3324"/>
            <w:shd w:val="clear" w:color="auto" w:fill="FFFFFF"/>
          </w:tcPr>
          <w:p>
            <w:r/>
            <w:r>
              <w:rPr>
                <w:sz w:val="18"/>
              </w:rPr>
              <w:t>UGX 574,991,473</w:t>
            </w:r>
          </w:p>
        </w:tc>
        <w:tc>
          <w:tcPr>
            <w:tcW w:type="dxa" w:w="3324"/>
            <w:shd w:val="clear" w:color="auto" w:fill="FFFFFF"/>
          </w:tcPr>
          <w:p>
            <w:r/>
            <w:r>
              <w:rPr>
                <w:sz w:val="18"/>
              </w:rPr>
              <w:t>55.7%</w:t>
            </w:r>
          </w:p>
        </w:tc>
      </w:tr>
      <w:tr>
        <w:tc>
          <w:tcPr>
            <w:tcW w:type="dxa" w:w="3324"/>
            <w:shd w:val="clear" w:color="auto" w:fill="F5F5F5"/>
          </w:tcPr>
          <w:p>
            <w:r/>
            <w:r>
              <w:rPr>
                <w:sz w:val="18"/>
              </w:rPr>
              <w:t xml:space="preserve">  ↳ Plus Card</w:t>
            </w:r>
          </w:p>
        </w:tc>
        <w:tc>
          <w:tcPr>
            <w:tcW w:type="dxa" w:w="3324"/>
            <w:shd w:val="clear" w:color="auto" w:fill="F5F5F5"/>
          </w:tcPr>
          <w:p>
            <w:r/>
            <w:r>
              <w:rPr>
                <w:sz w:val="18"/>
              </w:rPr>
              <w:t>UGX 57,613,960</w:t>
            </w:r>
          </w:p>
        </w:tc>
        <w:tc>
          <w:tcPr>
            <w:tcW w:type="dxa" w:w="3324"/>
            <w:shd w:val="clear" w:color="auto" w:fill="F5F5F5"/>
          </w:tcPr>
          <w:p>
            <w:r/>
            <w:r>
              <w:rPr>
                <w:sz w:val="18"/>
              </w:rPr>
            </w:r>
          </w:p>
        </w:tc>
      </w:tr>
      <w:tr>
        <w:tc>
          <w:tcPr>
            <w:tcW w:type="dxa" w:w="3324"/>
            <w:shd w:val="clear" w:color="auto" w:fill="FFFFFF"/>
          </w:tcPr>
          <w:p>
            <w:r/>
            <w:r>
              <w:rPr>
                <w:sz w:val="18"/>
              </w:rPr>
              <w:t xml:space="preserve">  ↳ Visa</w:t>
            </w:r>
          </w:p>
        </w:tc>
        <w:tc>
          <w:tcPr>
            <w:tcW w:type="dxa" w:w="3324"/>
            <w:shd w:val="clear" w:color="auto" w:fill="FFFFFF"/>
          </w:tcPr>
          <w:p>
            <w:r/>
            <w:r>
              <w:rPr>
                <w:sz w:val="18"/>
              </w:rPr>
              <w:t>UGX 10,615,155</w:t>
            </w:r>
          </w:p>
        </w:tc>
        <w:tc>
          <w:tcPr>
            <w:tcW w:type="dxa" w:w="3324"/>
            <w:shd w:val="clear" w:color="auto" w:fill="FFFFFF"/>
          </w:tcPr>
          <w:p>
            <w:r/>
            <w:r>
              <w:rPr>
                <w:sz w:val="18"/>
              </w:rPr>
            </w:r>
          </w:p>
        </w:tc>
      </w:tr>
      <w:tr>
        <w:tc>
          <w:tcPr>
            <w:tcW w:type="dxa" w:w="3324"/>
            <w:shd w:val="clear" w:color="auto" w:fill="F5F5F5"/>
          </w:tcPr>
          <w:p>
            <w:r/>
            <w:r>
              <w:rPr>
                <w:sz w:val="18"/>
              </w:rPr>
              <w:t xml:space="preserve">  ↳ Credit Sales</w:t>
            </w:r>
          </w:p>
        </w:tc>
        <w:tc>
          <w:tcPr>
            <w:tcW w:type="dxa" w:w="3324"/>
            <w:shd w:val="clear" w:color="auto" w:fill="F5F5F5"/>
          </w:tcPr>
          <w:p>
            <w:r/>
            <w:r>
              <w:rPr>
                <w:sz w:val="18"/>
              </w:rPr>
              <w:t>UGX 231,811,087</w:t>
            </w:r>
          </w:p>
        </w:tc>
        <w:tc>
          <w:tcPr>
            <w:tcW w:type="dxa" w:w="3324"/>
            <w:shd w:val="clear" w:color="auto" w:fill="F5F5F5"/>
          </w:tcPr>
          <w:p>
            <w:r/>
            <w:r>
              <w:rPr>
                <w:sz w:val="18"/>
              </w:rPr>
            </w:r>
          </w:p>
        </w:tc>
      </w:tr>
      <w:tr>
        <w:tc>
          <w:tcPr>
            <w:tcW w:type="dxa" w:w="3324"/>
            <w:shd w:val="clear" w:color="auto" w:fill="FFFFFF"/>
          </w:tcPr>
          <w:p>
            <w:r/>
            <w:r>
              <w:rPr>
                <w:sz w:val="18"/>
              </w:rPr>
              <w:t>Total Sales</w:t>
            </w:r>
          </w:p>
        </w:tc>
        <w:tc>
          <w:tcPr>
            <w:tcW w:type="dxa" w:w="3324"/>
            <w:shd w:val="clear" w:color="auto" w:fill="FFFFFF"/>
          </w:tcPr>
          <w:p>
            <w:r/>
            <w:r>
              <w:rPr>
                <w:sz w:val="18"/>
              </w:rPr>
              <w:t>UGX 1,032,979,377</w:t>
            </w:r>
          </w:p>
        </w:tc>
        <w:tc>
          <w:tcPr>
            <w:tcW w:type="dxa" w:w="3324"/>
            <w:shd w:val="clear" w:color="auto" w:fill="FFFFFF"/>
          </w:tcPr>
          <w:p>
            <w:r/>
            <w:r>
              <w:rPr>
                <w:sz w:val="18"/>
              </w:rPr>
              <w:t>100%</w:t>
            </w:r>
          </w:p>
        </w:tc>
      </w:tr>
    </w:tbl>
    <w:p/>
    <w:p>
      <w:pPr>
        <w:spacing w:after="120"/>
      </w:pPr>
      <w:r>
        <w:rPr>
          <w:color w:val="222222"/>
          <w:sz w:val="20"/>
        </w:rPr>
        <w:t>Payment collection for April 2026 reflects a station operating in a progressively cashless commercial environment. Cashless transactions accounted for 55.7% of total collections, while cash payments represented the remaining 44.3%. This distribution is consistent with broader trends in Uganda's petroleum retail sector, where fleet card and mobile money adoption continues to grow among commercial customers. Plus Card payments represented the dominant cashless channel, underscoring the importance of the station's relationship with its fleet card operator. Credit sales require continued monitoring to ensure timely settlement and to manage the station's receivables exposure within acceptable risk parameters.</w:t>
      </w:r>
    </w:p>
    <w:p>
      <w:pPr>
        <w:spacing w:before="280" w:after="80"/>
      </w:pPr>
      <w:r>
        <w:rPr>
          <w:b/>
          <w:color w:val="C8102E"/>
          <w:sz w:val="24"/>
        </w:rPr>
        <w:t>EXPENSE SUMMARY</w:t>
      </w:r>
    </w:p>
    <w:tbl>
      <w:tblPr>
        <w:tblStyle w:val="TableGrid"/>
        <w:tblW w:type="auto" w:w="0"/>
        <w:tblLook w:firstColumn="1" w:firstRow="1" w:lastColumn="0" w:lastRow="0" w:noHBand="0" w:noVBand="1" w:val="04A0"/>
      </w:tblPr>
      <w:tblGrid>
        <w:gridCol w:w="4986"/>
        <w:gridCol w:w="4986"/>
      </w:tblGrid>
      <w:tr>
        <w:tc>
          <w:tcPr>
            <w:tcW w:type="dxa" w:w="4986"/>
            <w:shd w:val="clear" w:color="auto" w:fill="1A1A2E"/>
          </w:tcPr>
          <w:p>
            <w:r/>
            <w:r>
              <w:rPr>
                <w:b/>
                <w:color w:val="FFFFFF"/>
                <w:sz w:val="18"/>
              </w:rPr>
              <w:t>Item</w:t>
            </w:r>
          </w:p>
        </w:tc>
        <w:tc>
          <w:tcPr>
            <w:tcW w:type="dxa" w:w="4986"/>
            <w:shd w:val="clear" w:color="auto" w:fill="1A1A2E"/>
          </w:tcPr>
          <w:p>
            <w:r/>
            <w:r>
              <w:rPr>
                <w:b/>
                <w:color w:val="FFFFFF"/>
                <w:sz w:val="18"/>
              </w:rPr>
              <w:t>Amount</w:t>
            </w:r>
          </w:p>
        </w:tc>
      </w:tr>
      <w:tr>
        <w:tc>
          <w:tcPr>
            <w:tcW w:type="dxa" w:w="4986"/>
            <w:shd w:val="clear" w:color="auto" w:fill="F5F5F5"/>
          </w:tcPr>
          <w:p>
            <w:r/>
            <w:r>
              <w:rPr>
                <w:sz w:val="18"/>
              </w:rPr>
              <w:t>Total Expenses</w:t>
            </w:r>
          </w:p>
        </w:tc>
        <w:tc>
          <w:tcPr>
            <w:tcW w:type="dxa" w:w="4986"/>
            <w:shd w:val="clear" w:color="auto" w:fill="F5F5F5"/>
          </w:tcPr>
          <w:p>
            <w:r/>
            <w:r>
              <w:rPr>
                <w:sz w:val="18"/>
              </w:rPr>
              <w:t>UGX 71,435,150</w:t>
            </w:r>
          </w:p>
        </w:tc>
      </w:tr>
      <w:tr>
        <w:tc>
          <w:tcPr>
            <w:tcW w:type="dxa" w:w="4986"/>
            <w:shd w:val="clear" w:color="auto" w:fill="FFFFFF"/>
          </w:tcPr>
          <w:p>
            <w:r/>
            <w:r>
              <w:rPr>
                <w:sz w:val="18"/>
              </w:rPr>
              <w:t>Total Revenue</w:t>
            </w:r>
          </w:p>
        </w:tc>
        <w:tc>
          <w:tcPr>
            <w:tcW w:type="dxa" w:w="4986"/>
            <w:shd w:val="clear" w:color="auto" w:fill="FFFFFF"/>
          </w:tcPr>
          <w:p>
            <w:r/>
            <w:r>
              <w:rPr>
                <w:sz w:val="18"/>
              </w:rPr>
              <w:t>UGX 968,680,417</w:t>
            </w:r>
          </w:p>
        </w:tc>
      </w:tr>
      <w:tr>
        <w:tc>
          <w:tcPr>
            <w:tcW w:type="dxa" w:w="4986"/>
            <w:shd w:val="clear" w:color="auto" w:fill="F5F5F5"/>
          </w:tcPr>
          <w:p>
            <w:r/>
            <w:r>
              <w:rPr>
                <w:sz w:val="18"/>
              </w:rPr>
              <w:t>Avg Daily Fuel Revenue</w:t>
            </w:r>
          </w:p>
        </w:tc>
        <w:tc>
          <w:tcPr>
            <w:tcW w:type="dxa" w:w="4986"/>
            <w:shd w:val="clear" w:color="auto" w:fill="F5F5F5"/>
          </w:tcPr>
          <w:p>
            <w:r/>
            <w:r>
              <w:rPr>
                <w:sz w:val="18"/>
              </w:rPr>
              <w:t>UGX 30,457,837</w:t>
            </w:r>
          </w:p>
        </w:tc>
      </w:tr>
    </w:tbl>
    <w:p/>
    <w:p>
      <w:pPr>
        <w:spacing w:before="280" w:after="80"/>
      </w:pPr>
      <w:r>
        <w:rPr>
          <w:b/>
          <w:color w:val="C8102E"/>
          <w:sz w:val="24"/>
        </w:rPr>
        <w:t>CASH RECONCILIATION SUMMARY</w:t>
      </w:r>
    </w:p>
    <w:tbl>
      <w:tblPr>
        <w:tblStyle w:val="TableGrid"/>
        <w:tblW w:type="auto" w:w="0"/>
        <w:tblLook w:firstColumn="1" w:firstRow="1" w:lastColumn="0" w:lastRow="0" w:noHBand="0" w:noVBand="1" w:val="04A0"/>
      </w:tblPr>
      <w:tblGrid>
        <w:gridCol w:w="4986"/>
        <w:gridCol w:w="4986"/>
      </w:tblGrid>
      <w:tr>
        <w:tc>
          <w:tcPr>
            <w:tcW w:type="dxa" w:w="4986"/>
            <w:shd w:val="clear" w:color="auto" w:fill="1A1A2E"/>
          </w:tcPr>
          <w:p>
            <w:r/>
            <w:r>
              <w:rPr>
                <w:b/>
                <w:color w:val="FFFFFF"/>
                <w:sz w:val="18"/>
              </w:rPr>
              <w:t>Item</w:t>
            </w:r>
          </w:p>
        </w:tc>
        <w:tc>
          <w:tcPr>
            <w:tcW w:type="dxa" w:w="4986"/>
            <w:shd w:val="clear" w:color="auto" w:fill="1A1A2E"/>
          </w:tcPr>
          <w:p>
            <w:r/>
            <w:r>
              <w:rPr>
                <w:b/>
                <w:color w:val="FFFFFF"/>
                <w:sz w:val="18"/>
              </w:rPr>
              <w:t>Value</w:t>
            </w:r>
          </w:p>
        </w:tc>
      </w:tr>
      <w:tr>
        <w:tc>
          <w:tcPr>
            <w:tcW w:type="dxa" w:w="4986"/>
            <w:shd w:val="clear" w:color="auto" w:fill="F5F5F5"/>
          </w:tcPr>
          <w:p>
            <w:r/>
            <w:r>
              <w:rPr>
                <w:sz w:val="18"/>
              </w:rPr>
              <w:t>Cash Collected</w:t>
            </w:r>
          </w:p>
        </w:tc>
        <w:tc>
          <w:tcPr>
            <w:tcW w:type="dxa" w:w="4986"/>
            <w:shd w:val="clear" w:color="auto" w:fill="F5F5F5"/>
          </w:tcPr>
          <w:p>
            <w:r/>
            <w:r>
              <w:rPr>
                <w:sz w:val="18"/>
              </w:rPr>
              <w:t>UGX 457,987,904</w:t>
            </w:r>
          </w:p>
        </w:tc>
      </w:tr>
      <w:tr>
        <w:tc>
          <w:tcPr>
            <w:tcW w:type="dxa" w:w="4986"/>
            <w:shd w:val="clear" w:color="auto" w:fill="FFFFFF"/>
          </w:tcPr>
          <w:p>
            <w:r/>
            <w:r>
              <w:rPr>
                <w:sz w:val="18"/>
              </w:rPr>
              <w:t>Total Banked</w:t>
            </w:r>
          </w:p>
        </w:tc>
        <w:tc>
          <w:tcPr>
            <w:tcW w:type="dxa" w:w="4986"/>
            <w:shd w:val="clear" w:color="auto" w:fill="FFFFFF"/>
          </w:tcPr>
          <w:p>
            <w:r/>
            <w:r>
              <w:rPr>
                <w:sz w:val="18"/>
              </w:rPr>
              <w:t>UGX 383,267,754</w:t>
            </w:r>
          </w:p>
        </w:tc>
      </w:tr>
      <w:tr>
        <w:tc>
          <w:tcPr>
            <w:tcW w:type="dxa" w:w="4986"/>
            <w:shd w:val="clear" w:color="auto" w:fill="F5F5F5"/>
          </w:tcPr>
          <w:p>
            <w:r/>
            <w:r>
              <w:rPr>
                <w:sz w:val="18"/>
              </w:rPr>
              <w:t>Expected to Bank</w:t>
            </w:r>
          </w:p>
        </w:tc>
        <w:tc>
          <w:tcPr>
            <w:tcW w:type="dxa" w:w="4986"/>
            <w:shd w:val="clear" w:color="auto" w:fill="F5F5F5"/>
          </w:tcPr>
          <w:p>
            <w:r/>
            <w:r>
              <w:rPr>
                <w:sz w:val="18"/>
              </w:rPr>
              <w:t>UGX 383,267,754</w:t>
            </w:r>
          </w:p>
        </w:tc>
      </w:tr>
      <w:tr>
        <w:tc>
          <w:tcPr>
            <w:tcW w:type="dxa" w:w="4986"/>
            <w:shd w:val="clear" w:color="auto" w:fill="FFFFFF"/>
          </w:tcPr>
          <w:p>
            <w:r/>
            <w:r>
              <w:rPr>
                <w:sz w:val="18"/>
              </w:rPr>
              <w:t>Net Delta</w:t>
            </w:r>
          </w:p>
        </w:tc>
        <w:tc>
          <w:tcPr>
            <w:tcW w:type="dxa" w:w="4986"/>
            <w:shd w:val="clear" w:color="auto" w:fill="FFFFFF"/>
          </w:tcPr>
          <w:p>
            <w:r/>
            <w:r>
              <w:rPr>
                <w:sz w:val="18"/>
              </w:rPr>
              <w:t>UGX 5,990,445</w:t>
            </w:r>
          </w:p>
        </w:tc>
      </w:tr>
      <w:tr>
        <w:tc>
          <w:tcPr>
            <w:tcW w:type="dxa" w:w="4986"/>
            <w:shd w:val="clear" w:color="auto" w:fill="F5F5F5"/>
          </w:tcPr>
          <w:p>
            <w:r/>
            <w:r>
              <w:rPr>
                <w:sz w:val="18"/>
              </w:rPr>
              <w:t>Delta Status</w:t>
            </w:r>
          </w:p>
        </w:tc>
        <w:tc>
          <w:tcPr>
            <w:tcW w:type="dxa" w:w="4986"/>
            <w:shd w:val="clear" w:color="auto" w:fill="F5F5F5"/>
          </w:tcPr>
          <w:p>
            <w:r/>
            <w:r>
              <w:rPr>
                <w:sz w:val="18"/>
              </w:rPr>
              <w:t>SURPLUS</w:t>
            </w:r>
          </w:p>
        </w:tc>
      </w:tr>
      <w:tr>
        <w:tc>
          <w:tcPr>
            <w:tcW w:type="dxa" w:w="4986"/>
            <w:shd w:val="clear" w:color="auto" w:fill="FFFFFF"/>
          </w:tcPr>
          <w:p>
            <w:r/>
            <w:r>
              <w:rPr>
                <w:sz w:val="18"/>
              </w:rPr>
              <w:t>Days with Anomalies</w:t>
            </w:r>
          </w:p>
        </w:tc>
        <w:tc>
          <w:tcPr>
            <w:tcW w:type="dxa" w:w="4986"/>
            <w:shd w:val="clear" w:color="auto" w:fill="FFFFFF"/>
          </w:tcPr>
          <w:p>
            <w:r/>
            <w:r>
              <w:rPr>
                <w:sz w:val="18"/>
              </w:rPr>
              <w:t>30</w:t>
            </w:r>
          </w:p>
        </w:tc>
      </w:tr>
    </w:tbl>
    <w:p/>
    <w:p>
      <w:pPr>
        <w:spacing w:after="120"/>
      </w:pPr>
      <w:r>
        <w:rPr>
          <w:color w:val="222222"/>
          <w:sz w:val="20"/>
        </w:rPr>
        <w:t>Cash reconciliation for April 2026 closed with a net delta of UGX 5,990,445, resulting in a surplus position for the period. This outcome reflects the aggregate variance between the cash amounts physically banked and the theoretical cash expected based on recorded sales and cashless deductions. A total of 30 days out of 30 operating days recorded anomalies in their daily cash reconciliation figures, indicating that variance management remains an area requiring continued supervisory attention. While a surplus position is operationally acceptable, station management is advised to review individual anomaly days to determine whether variances are attributable to timing differences, rounding, or procedural gaps in daily cash handling.</w:t>
      </w:r>
    </w:p>
    <w:p/>
    <w:p>
      <w:pPr>
        <w:jc w:val="center"/>
      </w:pPr>
      <w:r>
        <w:rPr>
          <w:color w:val="888888"/>
          <w:sz w:val="16"/>
        </w:rPr>
        <w:t>StationDeck Report · April 2026 20260526 · Generated 26 May 2026, 07:26 · StationDeck AI System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