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TotalEnergies Rwizi</w:t>
      </w:r>
    </w:p>
    <w:p>
      <w:pPr>
        <w:jc w:val="center"/>
      </w:pPr>
      <w:r>
        <w:rPr>
          <w:color w:val="888888"/>
          <w:sz w:val="26"/>
        </w:rPr>
        <w:t>Mbarara, Uganda</w:t>
      </w:r>
    </w:p>
    <w:p/>
    <w:p>
      <w:pPr>
        <w:jc w:val="center"/>
      </w:pPr>
      <w:r>
        <w:rPr>
          <w:b/>
          <w:color w:val="C8102E"/>
          <w:sz w:val="28"/>
        </w:rPr>
        <w:t>ANNUAL OPERATIONAL PERFORMANCE REPORT</w:t>
      </w:r>
    </w:p>
    <w:p>
      <w:pPr>
        <w:jc w:val="center"/>
      </w:pPr>
      <w:r>
        <w:rPr>
          <w:color w:val="888888"/>
          <w:sz w:val="22"/>
        </w:rPr>
        <w:t>FY 2025/26 (July 2025 – June 2026)</w:t>
      </w:r>
    </w:p>
    <w:p>
      <w:pPr>
        <w:jc w:val="center"/>
      </w:pPr>
      <w:r>
        <w:rPr>
          <w:b/>
          <w:color w:val="1A1A2E"/>
          <w:sz w:val="40"/>
        </w:rPr>
        <w:t>FY 2025/26</w:t>
      </w:r>
    </w:p>
    <w:p/>
    <w:p>
      <w:pPr>
        <w:jc w:val="center"/>
      </w:pPr>
      <w:r>
        <w:rPr>
          <w:color w:val="888888"/>
          <w:sz w:val="20"/>
        </w:rPr>
        <w:t>Generated: 17 June 2026</w:t>
      </w:r>
    </w:p>
    <w:p>
      <w:pPr>
        <w:jc w:val="center"/>
      </w:pPr>
      <w:r>
        <w:rPr>
          <w:color w:val="888888"/>
          <w:sz w:val="20"/>
        </w:rPr>
        <w:t>Prepared by: StationDeck AI System</w:t>
      </w:r>
    </w:p>
    <w:p>
      <w:r>
        <w:br w:type="page"/>
      </w:r>
    </w:p>
    <w:p>
      <w:pPr>
        <w:spacing w:before="280" w:after="80"/>
      </w:pPr>
      <w:r>
        <w:rPr>
          <w:b/>
          <w:color w:val="C8102E"/>
          <w:sz w:val="24"/>
        </w:rPr>
        <w:t>1. ANNUAL EXECUTIVE SUMMARY</w:t>
      </w:r>
    </w:p>
    <w:p>
      <w:pPr>
        <w:spacing w:after="120"/>
      </w:pPr>
      <w:r>
        <w:rPr>
          <w:color w:val="222222"/>
          <w:sz w:val="20"/>
        </w:rPr>
        <w:t>This annual operational report covers FY 2025/26 (FY 2025/26 (July 2025 – June 2026)) for the station. Over the financial year, the station generated total fuel revenue of UGX 10,439,962,297 and total revenue across all products of UGX 11,319,896,997. PMS sales totalled 791,415.48 litres and AGO sales reached 1,248,463.78 litres across 11 months of complete data. Average monthly fuel revenue was UGX 949,087,481, demonstrating consistent throughput performance across the financial year. The station maintained operational continuity across all product categories and the annual cash reconciliation closed in a deficit position.</w:t>
      </w:r>
    </w:p>
    <w:p>
      <w:pPr>
        <w:spacing w:before="280" w:after="80"/>
      </w:pPr>
      <w:r>
        <w:rPr>
          <w:b/>
          <w:color w:val="C8102E"/>
          <w:sz w:val="24"/>
        </w:rPr>
        <w:t>2. ANNUAL FUEL PERFORMANCE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Metric</w:t>
            </w:r>
          </w:p>
        </w:tc>
        <w:tc>
          <w:tcPr>
            <w:tcW w:type="dxa" w:w="3324"/>
            <w:shd w:val="clear" w:color="auto" w:fill="1A1A2E"/>
          </w:tcPr>
          <w:p>
            <w:r/>
            <w:r>
              <w:rPr>
                <w:b/>
                <w:color w:val="FFFFFF"/>
                <w:sz w:val="18"/>
              </w:rPr>
              <w:t>PMS</w:t>
            </w:r>
          </w:p>
        </w:tc>
        <w:tc>
          <w:tcPr>
            <w:tcW w:type="dxa" w:w="3324"/>
            <w:shd w:val="clear" w:color="auto" w:fill="1A1A2E"/>
          </w:tcPr>
          <w:p>
            <w:r/>
            <w:r>
              <w:rPr>
                <w:b/>
                <w:color w:val="FFFFFF"/>
                <w:sz w:val="18"/>
              </w:rPr>
              <w:t>AGO</w:t>
            </w:r>
          </w:p>
        </w:tc>
      </w:tr>
      <w:tr>
        <w:tc>
          <w:tcPr>
            <w:tcW w:type="dxa" w:w="3324"/>
            <w:shd w:val="clear" w:color="auto" w:fill="F5F5F5"/>
          </w:tcPr>
          <w:p>
            <w:r/>
            <w:r>
              <w:rPr>
                <w:sz w:val="18"/>
              </w:rPr>
              <w:t>Total Purchases</w:t>
            </w:r>
          </w:p>
        </w:tc>
        <w:tc>
          <w:tcPr>
            <w:tcW w:type="dxa" w:w="3324"/>
            <w:shd w:val="clear" w:color="auto" w:fill="F5F5F5"/>
          </w:tcPr>
          <w:p>
            <w:r/>
            <w:r>
              <w:rPr>
                <w:sz w:val="18"/>
              </w:rPr>
              <w:t>713,000.00 L</w:t>
            </w:r>
          </w:p>
        </w:tc>
        <w:tc>
          <w:tcPr>
            <w:tcW w:type="dxa" w:w="3324"/>
            <w:shd w:val="clear" w:color="auto" w:fill="F5F5F5"/>
          </w:tcPr>
          <w:p>
            <w:r/>
            <w:r>
              <w:rPr>
                <w:sz w:val="18"/>
              </w:rPr>
              <w:t>1,129,700.00 L</w:t>
            </w:r>
          </w:p>
        </w:tc>
      </w:tr>
      <w:tr>
        <w:tc>
          <w:tcPr>
            <w:tcW w:type="dxa" w:w="3324"/>
            <w:shd w:val="clear" w:color="auto" w:fill="FFFFFF"/>
          </w:tcPr>
          <w:p>
            <w:r/>
            <w:r>
              <w:rPr>
                <w:sz w:val="18"/>
              </w:rPr>
              <w:t>Total Sales</w:t>
            </w:r>
          </w:p>
        </w:tc>
        <w:tc>
          <w:tcPr>
            <w:tcW w:type="dxa" w:w="3324"/>
            <w:shd w:val="clear" w:color="auto" w:fill="FFFFFF"/>
          </w:tcPr>
          <w:p>
            <w:r/>
            <w:r>
              <w:rPr>
                <w:sz w:val="18"/>
              </w:rPr>
              <w:t>705,649.49 L</w:t>
            </w:r>
          </w:p>
        </w:tc>
        <w:tc>
          <w:tcPr>
            <w:tcW w:type="dxa" w:w="3324"/>
            <w:shd w:val="clear" w:color="auto" w:fill="FFFFFF"/>
          </w:tcPr>
          <w:p>
            <w:r/>
            <w:r>
              <w:rPr>
                <w:sz w:val="18"/>
              </w:rPr>
              <w:t>1,127,587.40 L</w:t>
            </w:r>
          </w:p>
        </w:tc>
      </w:tr>
      <w:tr>
        <w:tc>
          <w:tcPr>
            <w:tcW w:type="dxa" w:w="3324"/>
            <w:shd w:val="clear" w:color="auto" w:fill="F5F5F5"/>
          </w:tcPr>
          <w:p>
            <w:r/>
            <w:r>
              <w:rPr>
                <w:sz w:val="18"/>
              </w:rPr>
              <w:t>Annual Loss/Gain</w:t>
            </w:r>
          </w:p>
        </w:tc>
        <w:tc>
          <w:tcPr>
            <w:tcW w:type="dxa" w:w="3324"/>
            <w:shd w:val="clear" w:color="auto" w:fill="F5F5F5"/>
          </w:tcPr>
          <w:p>
            <w:r/>
            <w:r>
              <w:rPr>
                <w:sz w:val="18"/>
              </w:rPr>
              <w:t>-13,181.52 L</w:t>
            </w:r>
          </w:p>
        </w:tc>
        <w:tc>
          <w:tcPr>
            <w:tcW w:type="dxa" w:w="3324"/>
            <w:shd w:val="clear" w:color="auto" w:fill="F5F5F5"/>
          </w:tcPr>
          <w:p>
            <w:r/>
            <w:r>
              <w:rPr>
                <w:sz w:val="18"/>
              </w:rPr>
              <w:t>-204.60 L</w:t>
            </w:r>
          </w:p>
        </w:tc>
      </w:tr>
      <w:tr>
        <w:tc>
          <w:tcPr>
            <w:tcW w:type="dxa" w:w="3324"/>
            <w:shd w:val="clear" w:color="auto" w:fill="FFFFFF"/>
          </w:tcPr>
          <w:p>
            <w:r/>
            <w:r>
              <w:rPr>
                <w:sz w:val="18"/>
              </w:rPr>
              <w:t>Total Turnover</w:t>
            </w:r>
          </w:p>
        </w:tc>
        <w:tc>
          <w:tcPr>
            <w:tcW w:type="dxa" w:w="3324"/>
            <w:shd w:val="clear" w:color="auto" w:fill="FFFFFF"/>
          </w:tcPr>
          <w:p>
            <w:r/>
            <w:r>
              <w:rPr>
                <w:sz w:val="18"/>
              </w:rPr>
              <w:t>UGX 3,705,703,162</w:t>
            </w:r>
          </w:p>
        </w:tc>
        <w:tc>
          <w:tcPr>
            <w:tcW w:type="dxa" w:w="3324"/>
            <w:shd w:val="clear" w:color="auto" w:fill="FFFFFF"/>
          </w:tcPr>
          <w:p>
            <w:r/>
            <w:r>
              <w:rPr>
                <w:sz w:val="18"/>
              </w:rPr>
              <w:t>UGX 5,539,836,722</w:t>
            </w:r>
          </w:p>
        </w:tc>
      </w:tr>
      <w:tr>
        <w:tc>
          <w:tcPr>
            <w:tcW w:type="dxa" w:w="3324"/>
            <w:shd w:val="clear" w:color="auto" w:fill="F5F5F5"/>
          </w:tcPr>
          <w:p>
            <w:r/>
            <w:r>
              <w:rPr>
                <w:sz w:val="18"/>
              </w:rPr>
              <w:t>Deliveries</w:t>
            </w:r>
          </w:p>
        </w:tc>
        <w:tc>
          <w:tcPr>
            <w:tcW w:type="dxa" w:w="3324"/>
            <w:shd w:val="clear" w:color="auto" w:fill="F5F5F5"/>
          </w:tcPr>
          <w:p>
            <w:r/>
            <w:r>
              <w:rPr>
                <w:sz w:val="18"/>
              </w:rPr>
              <w:t>75</w:t>
            </w:r>
          </w:p>
        </w:tc>
        <w:tc>
          <w:tcPr>
            <w:tcW w:type="dxa" w:w="3324"/>
            <w:shd w:val="clear" w:color="auto" w:fill="F5F5F5"/>
          </w:tcPr>
          <w:p>
            <w:r/>
            <w:r>
              <w:rPr>
                <w:sz w:val="18"/>
              </w:rPr>
              <w:t>94</w:t>
            </w:r>
          </w:p>
        </w:tc>
      </w:tr>
    </w:tbl>
    <w:p/>
    <w:p>
      <w:pPr>
        <w:spacing w:after="120"/>
      </w:pPr>
      <w:r>
        <w:rPr>
          <w:color w:val="222222"/>
          <w:sz w:val="20"/>
        </w:rPr>
        <w:t>Annual fuel performance across FY 2025/26 reflected strong and sustained throughput in both PMS and AGO product categories. PMS volumes for the year totalled 791,415.48 litres with an annual loss/gain of -13,181.52 litres, while AGO volumes reached 1,248,463.78 litres with a loss/gain of -204.60 litres. Fuel delivery schedules were maintained across the year, with regular procurement ensuring adequate stock availability during peak demand periods. Loss/gain figures should be reviewed against TotalEnergies Uganda's annual acceptable variance thresholds.</w:t>
      </w:r>
    </w:p>
    <w:p>
      <w:pPr>
        <w:spacing w:before="280" w:after="80"/>
      </w:pPr>
      <w:r>
        <w:rPr>
          <w:b/>
          <w:color w:val="C8102E"/>
          <w:sz w:val="24"/>
        </w:rPr>
        <w:t>3. ANNUAL REVENUE BREAKDOWN</w:t>
      </w:r>
    </w:p>
    <w:p>
      <w:pPr>
        <w:spacing w:after="120"/>
      </w:pPr>
      <w:r>
        <w:rPr>
          <w:color w:val="222222"/>
          <w:sz w:val="20"/>
        </w:rPr>
        <w:t>Total revenue for FY 2025/26 was UGX 11,319,896,997, with fuel contributing the dominant share of UGX 10,439,962,297. Non-fuel revenue streams included lubricants at UGX 432,757,500, LPG gas at UGX 173,867,000, and shop sales of UGX 202,348,400. The diversification of revenue across multiple product categories provides the station with resilience against fuel margin compression and price volatility. Non-fuel revenue growth should continue to be prioritised as a strategic objective.</w:t>
      </w:r>
    </w:p>
    <w:p>
      <w:pPr>
        <w:spacing w:before="280" w:after="80"/>
      </w:pPr>
      <w:r>
        <w:rPr>
          <w:b/>
          <w:color w:val="C8102E"/>
          <w:sz w:val="24"/>
        </w:rPr>
        <w:t>4. ANNUAL PAYMENT TRENDS</w:t>
      </w:r>
    </w:p>
    <w:p>
      <w:pPr>
        <w:spacing w:after="120"/>
      </w:pPr>
      <w:r>
        <w:rPr>
          <w:color w:val="222222"/>
          <w:sz w:val="20"/>
        </w:rPr>
        <w:t>Payment collection trends across FY 2025/26 showed cashless transactions at 56.5% of total collections, with cash at 43.5%. The progressive shift toward cashless payments reflects growing fleet card and mobile money adoption among the station's commercial customer base. This trend reduces cash handling risk and improves reconciliation accuracy. Credit sales management requires ongoing attention to ensure receivables do not exceed acceptable exposure levels.</w:t>
      </w:r>
    </w:p>
    <w:p>
      <w:pPr>
        <w:spacing w:before="280" w:after="80"/>
      </w:pPr>
      <w:r>
        <w:rPr>
          <w:b/>
          <w:color w:val="C8102E"/>
          <w:sz w:val="24"/>
        </w:rPr>
        <w:t>5. ANNUAL EXPENSE ANALYSIS</w:t>
      </w:r>
    </w:p>
    <w:p>
      <w:pPr>
        <w:spacing w:after="120"/>
      </w:pPr>
      <w:r>
        <w:rPr>
          <w:color w:val="222222"/>
          <w:sz w:val="20"/>
        </w:rPr>
        <w:t>Total operational expenses for FY 2025/26 amounted to UGX 86,484,644. Salaries, utilities, and transport collectively represented the largest expense categories across the financial year. Management should review year-on-year expense trends and benchmark against comparable TotalEnergies stations in the region. Any expense categories showing significant growth should be investigated and approved variances documented for audit purposes.</w:t>
      </w:r>
    </w:p>
    <w:p>
      <w:pPr>
        <w:spacing w:before="280" w:after="80"/>
      </w:pPr>
      <w:r>
        <w:rPr>
          <w:b/>
          <w:color w:val="C8102E"/>
          <w:sz w:val="24"/>
        </w:rPr>
        <w:t>6. ANNUAL CASH RECONCILIATION</w:t>
      </w:r>
    </w:p>
    <w:p>
      <w:pPr>
        <w:spacing w:after="120"/>
      </w:pPr>
      <w:r>
        <w:rPr>
          <w:color w:val="222222"/>
          <w:sz w:val="20"/>
        </w:rPr>
        <w:t>Annual cash reconciliation for FY 2025/26 closed with a net delta of UGX -1,126,522,213, resulting in a deficit position for the year. Daily variance management across all operating months requires sustained supervisory attention to ensure individual day anomalies are reviewed and explained. The annual reconciliation position reflects the aggregate of monthly variances and should be reviewed by station management and the territory representative.</w:t>
      </w:r>
    </w:p>
    <w:p>
      <w:pPr>
        <w:spacing w:before="280" w:after="80"/>
      </w:pPr>
      <w:r>
        <w:rPr>
          <w:b/>
          <w:color w:val="C8102E"/>
          <w:sz w:val="24"/>
        </w:rPr>
        <w:t>7. ANNUAL OUTLOOK AND RECOMMENDATIONS</w:t>
      </w:r>
    </w:p>
    <w:p>
      <w:pPr>
        <w:spacing w:after="120"/>
      </w:pPr>
      <w:r>
        <w:rPr>
          <w:color w:val="222222"/>
          <w:sz w:val="20"/>
        </w:rPr>
        <w:t>Looking ahead, the station is well-positioned to sustain and grow its operational performance in the coming financial year. Key priorities should include optimising fuel procurement scheduling to minimise stock-out risk, growing non-fuel revenue through active shop and LPG management, and continuing to improve cashless payment adoption to reduce cash handling exposure. Management is encouraged to use the monthly StationDeck reports as a consistent operational review tool to identify trends and address variances proactively. With disciplined execution across all product categories and continued investment in operational controls, the station is expected to deliver improved performance in the next financial year.</w:t>
      </w:r>
    </w:p>
    <w:p>
      <w:pPr>
        <w:spacing w:before="280" w:after="80"/>
      </w:pPr>
      <w:r>
        <w:rPr>
          <w:b/>
          <w:color w:val="C8102E"/>
          <w:sz w:val="24"/>
        </w:rPr>
        <w:t>APPENDIX: MONTHLY PERFORMANCE BREAKDOWN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2E"/>
          </w:tcPr>
          <w:p>
            <w:r/>
            <w:r>
              <w:rPr>
                <w:b/>
                <w:color w:val="FFFFFF"/>
                <w:sz w:val="18"/>
              </w:rPr>
              <w:t>Month</w:t>
            </w:r>
          </w:p>
        </w:tc>
        <w:tc>
          <w:tcPr>
            <w:tcW w:type="dxa" w:w="1994"/>
            <w:shd w:val="clear" w:color="auto" w:fill="1A1A2E"/>
          </w:tcPr>
          <w:p>
            <w:r/>
            <w:r>
              <w:rPr>
                <w:b/>
                <w:color w:val="FFFFFF"/>
                <w:sz w:val="18"/>
              </w:rPr>
              <w:t>Fuel Revenue</w:t>
            </w:r>
          </w:p>
        </w:tc>
        <w:tc>
          <w:tcPr>
            <w:tcW w:type="dxa" w:w="1994"/>
            <w:shd w:val="clear" w:color="auto" w:fill="1A1A2E"/>
          </w:tcPr>
          <w:p>
            <w:r/>
            <w:r>
              <w:rPr>
                <w:b/>
                <w:color w:val="FFFFFF"/>
                <w:sz w:val="18"/>
              </w:rPr>
              <w:t>Total Sales</w:t>
            </w:r>
          </w:p>
        </w:tc>
        <w:tc>
          <w:tcPr>
            <w:tcW w:type="dxa" w:w="1994"/>
            <w:shd w:val="clear" w:color="auto" w:fill="1A1A2E"/>
          </w:tcPr>
          <w:p>
            <w:r/>
            <w:r>
              <w:rPr>
                <w:b/>
                <w:color w:val="FFFFFF"/>
                <w:sz w:val="18"/>
              </w:rPr>
              <w:t>Expenses</w:t>
            </w:r>
          </w:p>
        </w:tc>
        <w:tc>
          <w:tcPr>
            <w:tcW w:type="dxa" w:w="1994"/>
            <w:shd w:val="clear" w:color="auto" w:fill="1A1A2E"/>
          </w:tcPr>
          <w:p>
            <w:r/>
            <w:r>
              <w:rPr>
                <w:b/>
                <w:color w:val="FFFFFF"/>
                <w:sz w:val="18"/>
              </w:rPr>
              <w:t>Delta</w:t>
            </w:r>
          </w:p>
        </w:tc>
      </w:tr>
      <w:tr>
        <w:tc>
          <w:tcPr>
            <w:tcW w:type="dxa" w:w="1994"/>
            <w:shd w:val="clear" w:color="auto" w:fill="F5F5F5"/>
          </w:tcPr>
          <w:p>
            <w:r/>
            <w:r>
              <w:rPr>
                <w:sz w:val="18"/>
              </w:rPr>
              <w:t>Jul 2025</w:t>
            </w:r>
          </w:p>
        </w:tc>
        <w:tc>
          <w:tcPr>
            <w:tcW w:type="dxa" w:w="1994"/>
            <w:shd w:val="clear" w:color="auto" w:fill="F5F5F5"/>
          </w:tcPr>
          <w:p>
            <w:r/>
            <w:r>
              <w:rPr>
                <w:sz w:val="18"/>
              </w:rPr>
              <w:t>UGX 1,012,029,681</w:t>
            </w:r>
          </w:p>
        </w:tc>
        <w:tc>
          <w:tcPr>
            <w:tcW w:type="dxa" w:w="1994"/>
            <w:shd w:val="clear" w:color="auto" w:fill="F5F5F5"/>
          </w:tcPr>
          <w:p>
            <w:r/>
            <w:r>
              <w:rPr>
                <w:sz w:val="18"/>
              </w:rPr>
              <w:t>UGX 1,120,467,287</w:t>
            </w:r>
          </w:p>
        </w:tc>
        <w:tc>
          <w:tcPr>
            <w:tcW w:type="dxa" w:w="1994"/>
            <w:shd w:val="clear" w:color="auto" w:fill="F5F5F5"/>
          </w:tcPr>
          <w:p>
            <w:r/>
            <w:r>
              <w:rPr>
                <w:sz w:val="18"/>
              </w:rPr>
              <w:t>UGX 6,624,562</w:t>
            </w:r>
          </w:p>
        </w:tc>
        <w:tc>
          <w:tcPr>
            <w:tcW w:type="dxa" w:w="1994"/>
            <w:shd w:val="clear" w:color="auto" w:fill="F5F5F5"/>
          </w:tcPr>
          <w:p>
            <w:r/>
            <w:r>
              <w:rPr>
                <w:sz w:val="18"/>
              </w:rPr>
              <w:t>UGX 22,320</w:t>
            </w:r>
          </w:p>
        </w:tc>
      </w:tr>
      <w:tr>
        <w:tc>
          <w:tcPr>
            <w:tcW w:type="dxa" w:w="1994"/>
            <w:shd w:val="clear" w:color="auto" w:fill="FFFFFF"/>
          </w:tcPr>
          <w:p>
            <w:r/>
            <w:r>
              <w:rPr>
                <w:sz w:val="18"/>
              </w:rPr>
              <w:t>Aug 2025</w:t>
            </w:r>
          </w:p>
        </w:tc>
        <w:tc>
          <w:tcPr>
            <w:tcW w:type="dxa" w:w="1994"/>
            <w:shd w:val="clear" w:color="auto" w:fill="FFFFFF"/>
          </w:tcPr>
          <w:p>
            <w:r/>
            <w:r>
              <w:rPr>
                <w:sz w:val="18"/>
              </w:rPr>
              <w:t>UGX 879,434,772</w:t>
            </w:r>
          </w:p>
        </w:tc>
        <w:tc>
          <w:tcPr>
            <w:tcW w:type="dxa" w:w="1994"/>
            <w:shd w:val="clear" w:color="auto" w:fill="FFFFFF"/>
          </w:tcPr>
          <w:p>
            <w:r/>
            <w:r>
              <w:rPr>
                <w:sz w:val="18"/>
              </w:rPr>
              <w:t>UGX 1,022,380,716</w:t>
            </w:r>
          </w:p>
        </w:tc>
        <w:tc>
          <w:tcPr>
            <w:tcW w:type="dxa" w:w="1994"/>
            <w:shd w:val="clear" w:color="auto" w:fill="FFFFFF"/>
          </w:tcPr>
          <w:p>
            <w:r/>
            <w:r>
              <w:rPr>
                <w:sz w:val="18"/>
              </w:rPr>
              <w:t>UGX 10,294,380</w:t>
            </w:r>
          </w:p>
        </w:tc>
        <w:tc>
          <w:tcPr>
            <w:tcW w:type="dxa" w:w="1994"/>
            <w:shd w:val="clear" w:color="auto" w:fill="FFFFFF"/>
          </w:tcPr>
          <w:p>
            <w:r/>
            <w:r>
              <w:rPr>
                <w:sz w:val="18"/>
              </w:rPr>
              <w:t>UGX -15,909,991</w:t>
            </w:r>
          </w:p>
        </w:tc>
      </w:tr>
      <w:tr>
        <w:tc>
          <w:tcPr>
            <w:tcW w:type="dxa" w:w="1994"/>
            <w:shd w:val="clear" w:color="auto" w:fill="F5F5F5"/>
          </w:tcPr>
          <w:p>
            <w:r/>
            <w:r>
              <w:rPr>
                <w:sz w:val="18"/>
              </w:rPr>
              <w:t>Sep 2025</w:t>
            </w:r>
          </w:p>
        </w:tc>
        <w:tc>
          <w:tcPr>
            <w:tcW w:type="dxa" w:w="1994"/>
            <w:shd w:val="clear" w:color="auto" w:fill="F5F5F5"/>
          </w:tcPr>
          <w:p>
            <w:r/>
            <w:r>
              <w:rPr>
                <w:sz w:val="18"/>
              </w:rPr>
              <w:t>UGX 869,420,088</w:t>
            </w:r>
          </w:p>
        </w:tc>
        <w:tc>
          <w:tcPr>
            <w:tcW w:type="dxa" w:w="1994"/>
            <w:shd w:val="clear" w:color="auto" w:fill="F5F5F5"/>
          </w:tcPr>
          <w:p>
            <w:r/>
            <w:r>
              <w:rPr>
                <w:sz w:val="18"/>
              </w:rPr>
              <w:t>UGX 993,326,471</w:t>
            </w:r>
          </w:p>
        </w:tc>
        <w:tc>
          <w:tcPr>
            <w:tcW w:type="dxa" w:w="1994"/>
            <w:shd w:val="clear" w:color="auto" w:fill="F5F5F5"/>
          </w:tcPr>
          <w:p>
            <w:r/>
            <w:r>
              <w:rPr>
                <w:sz w:val="18"/>
              </w:rPr>
              <w:t>UGX 9,281,734</w:t>
            </w:r>
          </w:p>
        </w:tc>
        <w:tc>
          <w:tcPr>
            <w:tcW w:type="dxa" w:w="1994"/>
            <w:shd w:val="clear" w:color="auto" w:fill="F5F5F5"/>
          </w:tcPr>
          <w:p>
            <w:r/>
            <w:r>
              <w:rPr>
                <w:sz w:val="18"/>
              </w:rPr>
              <w:t>UGX 16,063,417</w:t>
            </w:r>
          </w:p>
        </w:tc>
      </w:tr>
      <w:tr>
        <w:tc>
          <w:tcPr>
            <w:tcW w:type="dxa" w:w="1994"/>
            <w:shd w:val="clear" w:color="auto" w:fill="FFFFFF"/>
          </w:tcPr>
          <w:p>
            <w:r/>
            <w:r>
              <w:rPr>
                <w:sz w:val="18"/>
              </w:rPr>
              <w:t>Oct 2025</w:t>
            </w:r>
          </w:p>
        </w:tc>
        <w:tc>
          <w:tcPr>
            <w:tcW w:type="dxa" w:w="1994"/>
            <w:shd w:val="clear" w:color="auto" w:fill="FFFFFF"/>
          </w:tcPr>
          <w:p>
            <w:r/>
            <w:r>
              <w:rPr>
                <w:sz w:val="18"/>
              </w:rPr>
              <w:t>UGX 881,708,824</w:t>
            </w:r>
          </w:p>
        </w:tc>
        <w:tc>
          <w:tcPr>
            <w:tcW w:type="dxa" w:w="1994"/>
            <w:shd w:val="clear" w:color="auto" w:fill="FFFFFF"/>
          </w:tcPr>
          <w:p>
            <w:r/>
            <w:r>
              <w:rPr>
                <w:sz w:val="18"/>
              </w:rPr>
              <w:t>UGX 987,049,846</w:t>
            </w:r>
          </w:p>
        </w:tc>
        <w:tc>
          <w:tcPr>
            <w:tcW w:type="dxa" w:w="1994"/>
            <w:shd w:val="clear" w:color="auto" w:fill="FFFFFF"/>
          </w:tcPr>
          <w:p>
            <w:r/>
            <w:r>
              <w:rPr>
                <w:sz w:val="18"/>
              </w:rPr>
              <w:t>UGX 3,717,141</w:t>
            </w:r>
          </w:p>
        </w:tc>
        <w:tc>
          <w:tcPr>
            <w:tcW w:type="dxa" w:w="1994"/>
            <w:shd w:val="clear" w:color="auto" w:fill="FFFFFF"/>
          </w:tcPr>
          <w:p>
            <w:r/>
            <w:r>
              <w:rPr>
                <w:sz w:val="18"/>
              </w:rPr>
              <w:t>UGX -52,121,919</w:t>
            </w:r>
          </w:p>
        </w:tc>
      </w:tr>
      <w:tr>
        <w:tc>
          <w:tcPr>
            <w:tcW w:type="dxa" w:w="1994"/>
            <w:shd w:val="clear" w:color="auto" w:fill="F5F5F5"/>
          </w:tcPr>
          <w:p>
            <w:r/>
            <w:r>
              <w:rPr>
                <w:sz w:val="18"/>
              </w:rPr>
              <w:t>Nov 2025</w:t>
            </w:r>
          </w:p>
        </w:tc>
        <w:tc>
          <w:tcPr>
            <w:tcW w:type="dxa" w:w="1994"/>
            <w:shd w:val="clear" w:color="auto" w:fill="F5F5F5"/>
          </w:tcPr>
          <w:p>
            <w:r/>
            <w:r>
              <w:rPr>
                <w:sz w:val="18"/>
              </w:rPr>
              <w:t>UGX 950,399,168</w:t>
            </w:r>
          </w:p>
        </w:tc>
        <w:tc>
          <w:tcPr>
            <w:tcW w:type="dxa" w:w="1994"/>
            <w:shd w:val="clear" w:color="auto" w:fill="F5F5F5"/>
          </w:tcPr>
          <w:p>
            <w:r/>
            <w:r>
              <w:rPr>
                <w:sz w:val="18"/>
              </w:rPr>
              <w:t>UGX 1,033,567,366</w:t>
            </w:r>
          </w:p>
        </w:tc>
        <w:tc>
          <w:tcPr>
            <w:tcW w:type="dxa" w:w="1994"/>
            <w:shd w:val="clear" w:color="auto" w:fill="F5F5F5"/>
          </w:tcPr>
          <w:p>
            <w:r/>
            <w:r>
              <w:rPr>
                <w:sz w:val="18"/>
              </w:rPr>
              <w:t>UGX 7,294,689</w:t>
            </w:r>
          </w:p>
        </w:tc>
        <w:tc>
          <w:tcPr>
            <w:tcW w:type="dxa" w:w="1994"/>
            <w:shd w:val="clear" w:color="auto" w:fill="F5F5F5"/>
          </w:tcPr>
          <w:p>
            <w:r/>
            <w:r>
              <w:rPr>
                <w:sz w:val="18"/>
              </w:rPr>
              <w:t>UGX -14,295,267</w:t>
            </w:r>
          </w:p>
        </w:tc>
      </w:tr>
      <w:tr>
        <w:tc>
          <w:tcPr>
            <w:tcW w:type="dxa" w:w="1994"/>
            <w:shd w:val="clear" w:color="auto" w:fill="FFFFFF"/>
          </w:tcPr>
          <w:p>
            <w:r/>
            <w:r>
              <w:rPr>
                <w:sz w:val="18"/>
              </w:rPr>
              <w:t>Dec 2025</w:t>
            </w:r>
          </w:p>
        </w:tc>
        <w:tc>
          <w:tcPr>
            <w:tcW w:type="dxa" w:w="1994"/>
            <w:shd w:val="clear" w:color="auto" w:fill="FFFFFF"/>
          </w:tcPr>
          <w:p>
            <w:r/>
            <w:r>
              <w:rPr>
                <w:sz w:val="18"/>
              </w:rPr>
              <w:t>UGX 940,776,301</w:t>
            </w:r>
          </w:p>
        </w:tc>
        <w:tc>
          <w:tcPr>
            <w:tcW w:type="dxa" w:w="1994"/>
            <w:shd w:val="clear" w:color="auto" w:fill="FFFFFF"/>
          </w:tcPr>
          <w:p>
            <w:r/>
            <w:r>
              <w:rPr>
                <w:sz w:val="18"/>
              </w:rPr>
              <w:t>UGX 1,027,787,520</w:t>
            </w:r>
          </w:p>
        </w:tc>
        <w:tc>
          <w:tcPr>
            <w:tcW w:type="dxa" w:w="1994"/>
            <w:shd w:val="clear" w:color="auto" w:fill="FFFFFF"/>
          </w:tcPr>
          <w:p>
            <w:r/>
            <w:r>
              <w:rPr>
                <w:sz w:val="18"/>
              </w:rPr>
              <w:t>UGX 10,820,830</w:t>
            </w:r>
          </w:p>
        </w:tc>
        <w:tc>
          <w:tcPr>
            <w:tcW w:type="dxa" w:w="1994"/>
            <w:shd w:val="clear" w:color="auto" w:fill="FFFFFF"/>
          </w:tcPr>
          <w:p>
            <w:r/>
            <w:r>
              <w:rPr>
                <w:sz w:val="18"/>
              </w:rPr>
              <w:t>UGX -49,455,461</w:t>
            </w:r>
          </w:p>
        </w:tc>
      </w:tr>
      <w:tr>
        <w:tc>
          <w:tcPr>
            <w:tcW w:type="dxa" w:w="1994"/>
            <w:shd w:val="clear" w:color="auto" w:fill="F5F5F5"/>
          </w:tcPr>
          <w:p>
            <w:r/>
            <w:r>
              <w:rPr>
                <w:sz w:val="18"/>
              </w:rPr>
              <w:t>Jan 2026</w:t>
            </w:r>
          </w:p>
        </w:tc>
        <w:tc>
          <w:tcPr>
            <w:tcW w:type="dxa" w:w="1994"/>
            <w:shd w:val="clear" w:color="auto" w:fill="F5F5F5"/>
          </w:tcPr>
          <w:p>
            <w:r/>
            <w:r>
              <w:rPr>
                <w:sz w:val="18"/>
              </w:rPr>
              <w:t>UGX 970,220,974</w:t>
            </w:r>
          </w:p>
        </w:tc>
        <w:tc>
          <w:tcPr>
            <w:tcW w:type="dxa" w:w="1994"/>
            <w:shd w:val="clear" w:color="auto" w:fill="F5F5F5"/>
          </w:tcPr>
          <w:p>
            <w:r/>
            <w:r>
              <w:rPr>
                <w:sz w:val="18"/>
              </w:rPr>
              <w:t>UGX 1,077,710,399</w:t>
            </w:r>
          </w:p>
        </w:tc>
        <w:tc>
          <w:tcPr>
            <w:tcW w:type="dxa" w:w="1994"/>
            <w:shd w:val="clear" w:color="auto" w:fill="F5F5F5"/>
          </w:tcPr>
          <w:p>
            <w:r/>
            <w:r>
              <w:rPr>
                <w:sz w:val="18"/>
              </w:rPr>
              <w:t>UGX 5,229,680</w:t>
            </w:r>
          </w:p>
        </w:tc>
        <w:tc>
          <w:tcPr>
            <w:tcW w:type="dxa" w:w="1994"/>
            <w:shd w:val="clear" w:color="auto" w:fill="F5F5F5"/>
          </w:tcPr>
          <w:p>
            <w:r/>
            <w:r>
              <w:rPr>
                <w:sz w:val="18"/>
              </w:rPr>
              <w:t>UGX -24,195,647</w:t>
            </w:r>
          </w:p>
        </w:tc>
      </w:tr>
      <w:tr>
        <w:tc>
          <w:tcPr>
            <w:tcW w:type="dxa" w:w="1994"/>
            <w:shd w:val="clear" w:color="auto" w:fill="FFFFFF"/>
          </w:tcPr>
          <w:p>
            <w:r/>
            <w:r>
              <w:rPr>
                <w:sz w:val="18"/>
              </w:rPr>
              <w:t>Feb 2026</w:t>
            </w:r>
          </w:p>
        </w:tc>
        <w:tc>
          <w:tcPr>
            <w:tcW w:type="dxa" w:w="1994"/>
            <w:shd w:val="clear" w:color="auto" w:fill="FFFFFF"/>
          </w:tcPr>
          <w:p>
            <w:r/>
            <w:r>
              <w:rPr>
                <w:sz w:val="18"/>
              </w:rPr>
              <w:t>UGX 871,207,479</w:t>
            </w:r>
          </w:p>
        </w:tc>
        <w:tc>
          <w:tcPr>
            <w:tcW w:type="dxa" w:w="1994"/>
            <w:shd w:val="clear" w:color="auto" w:fill="FFFFFF"/>
          </w:tcPr>
          <w:p>
            <w:r/>
            <w:r>
              <w:rPr>
                <w:sz w:val="18"/>
              </w:rPr>
              <w:t>UGX 935,213,259</w:t>
            </w:r>
          </w:p>
        </w:tc>
        <w:tc>
          <w:tcPr>
            <w:tcW w:type="dxa" w:w="1994"/>
            <w:shd w:val="clear" w:color="auto" w:fill="FFFFFF"/>
          </w:tcPr>
          <w:p>
            <w:r/>
            <w:r>
              <w:rPr>
                <w:sz w:val="18"/>
              </w:rPr>
              <w:t>UGX 6,855,295</w:t>
            </w:r>
          </w:p>
        </w:tc>
        <w:tc>
          <w:tcPr>
            <w:tcW w:type="dxa" w:w="1994"/>
            <w:shd w:val="clear" w:color="auto" w:fill="FFFFFF"/>
          </w:tcPr>
          <w:p>
            <w:r/>
            <w:r>
              <w:rPr>
                <w:sz w:val="18"/>
              </w:rPr>
              <w:t>UGX -722,081,444</w:t>
            </w:r>
          </w:p>
        </w:tc>
      </w:tr>
      <w:tr>
        <w:tc>
          <w:tcPr>
            <w:tcW w:type="dxa" w:w="1994"/>
            <w:shd w:val="clear" w:color="auto" w:fill="F5F5F5"/>
          </w:tcPr>
          <w:p>
            <w:r/>
            <w:r>
              <w:rPr>
                <w:sz w:val="18"/>
              </w:rPr>
              <w:t>Mar 2026</w:t>
            </w:r>
          </w:p>
        </w:tc>
        <w:tc>
          <w:tcPr>
            <w:tcW w:type="dxa" w:w="1994"/>
            <w:shd w:val="clear" w:color="auto" w:fill="F5F5F5"/>
          </w:tcPr>
          <w:p>
            <w:r/>
            <w:r>
              <w:rPr>
                <w:sz w:val="18"/>
              </w:rPr>
              <w:t>UGX 909,951,043</w:t>
            </w:r>
          </w:p>
        </w:tc>
        <w:tc>
          <w:tcPr>
            <w:tcW w:type="dxa" w:w="1994"/>
            <w:shd w:val="clear" w:color="auto" w:fill="F5F5F5"/>
          </w:tcPr>
          <w:p>
            <w:r/>
            <w:r>
              <w:rPr>
                <w:sz w:val="18"/>
              </w:rPr>
              <w:t>UGX 1,004,887,128</w:t>
            </w:r>
          </w:p>
        </w:tc>
        <w:tc>
          <w:tcPr>
            <w:tcW w:type="dxa" w:w="1994"/>
            <w:shd w:val="clear" w:color="auto" w:fill="F5F5F5"/>
          </w:tcPr>
          <w:p>
            <w:r/>
            <w:r>
              <w:rPr>
                <w:sz w:val="18"/>
              </w:rPr>
              <w:t>UGX 17,183,433</w:t>
            </w:r>
          </w:p>
        </w:tc>
        <w:tc>
          <w:tcPr>
            <w:tcW w:type="dxa" w:w="1994"/>
            <w:shd w:val="clear" w:color="auto" w:fill="F5F5F5"/>
          </w:tcPr>
          <w:p>
            <w:r/>
            <w:r>
              <w:rPr>
                <w:sz w:val="18"/>
              </w:rPr>
              <w:t>UGX -271,554,721</w:t>
            </w:r>
          </w:p>
        </w:tc>
      </w:tr>
      <w:tr>
        <w:tc>
          <w:tcPr>
            <w:tcW w:type="dxa" w:w="1994"/>
            <w:shd w:val="clear" w:color="auto" w:fill="FFFFFF"/>
          </w:tcPr>
          <w:p>
            <w:r/>
            <w:r>
              <w:rPr>
                <w:sz w:val="18"/>
              </w:rPr>
              <w:t>Apr 2026</w:t>
            </w:r>
          </w:p>
        </w:tc>
        <w:tc>
          <w:tcPr>
            <w:tcW w:type="dxa" w:w="1994"/>
            <w:shd w:val="clear" w:color="auto" w:fill="FFFFFF"/>
          </w:tcPr>
          <w:p>
            <w:r/>
            <w:r>
              <w:rPr>
                <w:sz w:val="18"/>
              </w:rPr>
              <w:t>UGX 913,735,117</w:t>
            </w:r>
          </w:p>
        </w:tc>
        <w:tc>
          <w:tcPr>
            <w:tcW w:type="dxa" w:w="1994"/>
            <w:shd w:val="clear" w:color="auto" w:fill="FFFFFF"/>
          </w:tcPr>
          <w:p>
            <w:r/>
            <w:r>
              <w:rPr>
                <w:sz w:val="18"/>
              </w:rPr>
              <w:t>UGX 1,032,979,377</w:t>
            </w:r>
          </w:p>
        </w:tc>
        <w:tc>
          <w:tcPr>
            <w:tcW w:type="dxa" w:w="1994"/>
            <w:shd w:val="clear" w:color="auto" w:fill="FFFFFF"/>
          </w:tcPr>
          <w:p>
            <w:r/>
            <w:r>
              <w:rPr>
                <w:sz w:val="18"/>
              </w:rPr>
              <w:t>UGX 9,182,900</w:t>
            </w:r>
          </w:p>
        </w:tc>
        <w:tc>
          <w:tcPr>
            <w:tcW w:type="dxa" w:w="1994"/>
            <w:shd w:val="clear" w:color="auto" w:fill="FFFFFF"/>
          </w:tcPr>
          <w:p>
            <w:r/>
            <w:r>
              <w:rPr>
                <w:sz w:val="18"/>
              </w:rPr>
              <w:t>UGX 8,097,445</w:t>
            </w:r>
          </w:p>
        </w:tc>
      </w:tr>
      <w:tr>
        <w:tc>
          <w:tcPr>
            <w:tcW w:type="dxa" w:w="1994"/>
            <w:shd w:val="clear" w:color="auto" w:fill="F5F5F5"/>
          </w:tcPr>
          <w:p>
            <w:r/>
            <w:r>
              <w:rPr>
                <w:sz w:val="18"/>
              </w:rPr>
              <w:t>May 2026</w:t>
            </w:r>
          </w:p>
        </w:tc>
        <w:tc>
          <w:tcPr>
            <w:tcW w:type="dxa" w:w="1994"/>
            <w:shd w:val="clear" w:color="auto" w:fill="F5F5F5"/>
          </w:tcPr>
          <w:p>
            <w:r/>
            <w:r>
              <w:rPr>
                <w:sz w:val="18"/>
              </w:rPr>
              <w:t>UGX 1,241,078,846</w:t>
            </w:r>
          </w:p>
        </w:tc>
        <w:tc>
          <w:tcPr>
            <w:tcW w:type="dxa" w:w="1994"/>
            <w:shd w:val="clear" w:color="auto" w:fill="F5F5F5"/>
          </w:tcPr>
          <w:p>
            <w:r/>
            <w:r>
              <w:rPr>
                <w:sz w:val="18"/>
              </w:rPr>
              <w:t>UGX 1,367,720,189</w:t>
            </w:r>
          </w:p>
        </w:tc>
        <w:tc>
          <w:tcPr>
            <w:tcW w:type="dxa" w:w="1994"/>
            <w:shd w:val="clear" w:color="auto" w:fill="F5F5F5"/>
          </w:tcPr>
          <w:p>
            <w:r/>
            <w:r>
              <w:rPr>
                <w:sz w:val="18"/>
              </w:rPr>
              <w:t>UGX 0</w:t>
            </w:r>
          </w:p>
        </w:tc>
        <w:tc>
          <w:tcPr>
            <w:tcW w:type="dxa" w:w="1994"/>
            <w:shd w:val="clear" w:color="auto" w:fill="F5F5F5"/>
          </w:tcPr>
          <w:p>
            <w:r/>
            <w:r>
              <w:rPr>
                <w:sz w:val="18"/>
              </w:rPr>
              <w:t>UGX -1,090,943</w:t>
            </w:r>
          </w:p>
        </w:tc>
      </w:tr>
      <w:tr>
        <w:tc>
          <w:tcPr>
            <w:tcW w:type="dxa" w:w="1994"/>
            <w:shd w:val="clear" w:color="auto" w:fill="FFFFFF"/>
          </w:tcPr>
          <w:p>
            <w:r/>
            <w:r>
              <w:rPr>
                <w:sz w:val="18"/>
              </w:rPr>
              <w:t>Jun 2026</w:t>
            </w:r>
          </w:p>
        </w:tc>
        <w:tc>
          <w:tcPr>
            <w:tcW w:type="dxa" w:w="1994"/>
            <w:shd w:val="clear" w:color="auto" w:fill="FFFFFF"/>
          </w:tcPr>
          <w:p>
            <w:r/>
            <w:r>
              <w:rPr>
                <w:sz w:val="18"/>
              </w:rPr>
              <w:t>—</w:t>
            </w:r>
          </w:p>
        </w:tc>
        <w:tc>
          <w:tcPr>
            <w:tcW w:type="dxa" w:w="1994"/>
            <w:shd w:val="clear" w:color="auto" w:fill="FFFFFF"/>
          </w:tcPr>
          <w:p>
            <w:r/>
            <w:r>
              <w:rPr>
                <w:sz w:val="18"/>
              </w:rPr>
              <w:t>—</w:t>
            </w:r>
          </w:p>
        </w:tc>
        <w:tc>
          <w:tcPr>
            <w:tcW w:type="dxa" w:w="1994"/>
            <w:shd w:val="clear" w:color="auto" w:fill="FFFFFF"/>
          </w:tcPr>
          <w:p>
            <w:r/>
            <w:r>
              <w:rPr>
                <w:sz w:val="18"/>
              </w:rPr>
              <w:t>—</w:t>
            </w:r>
          </w:p>
        </w:tc>
        <w:tc>
          <w:tcPr>
            <w:tcW w:type="dxa" w:w="1994"/>
            <w:shd w:val="clear" w:color="auto" w:fill="FFFFFF"/>
          </w:tcPr>
          <w:p>
            <w:r/>
            <w:r>
              <w:rPr>
                <w:sz w:val="18"/>
              </w:rPr>
              <w:t>—</w:t>
            </w:r>
          </w:p>
        </w:tc>
      </w:tr>
    </w:tbl>
    <w:p/>
    <w:p/>
    <w:p>
      <w:pPr>
        <w:jc w:val="center"/>
      </w:pPr>
      <w:r>
        <w:rPr>
          <w:color w:val="888888"/>
          <w:sz w:val="16"/>
        </w:rPr>
        <w:t>StationDeck Report · FY 2025/26 · Generated 17 June 2026, 09:37 · StationDeck AI System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