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b/>
          <w:bCs/>
          <w:color w:val="1B7A3D"/>
          <w:sz w:val="32"/>
          <w:szCs w:val="32"/>
        </w:rPr>
        <w:t xml:space="preserve">ISSP Readiness Note</w:t>
      </w:r>
    </w:p>
    <w:p>
      <w:pPr>
        <w:spacing w:after="20"/>
      </w:pPr>
      <w:r>
        <w:rPr>
          <w:color w:val="595959"/>
          <w:sz w:val="19"/>
          <w:szCs w:val="19"/>
        </w:rPr>
        <w:t xml:space="preserve">One Mandaluyong Super App — City Government of Mandaluyong</w:t>
      </w:r>
    </w:p>
    <w:p>
      <w:pPr>
        <w:pBdr>
          <w:bottom w:val="single" w:color="1B7A3D" w:sz="6" w:space="6"/>
        </w:pBdr>
        <w:spacing w:after="120"/>
      </w:pPr>
      <w:r>
        <w:rPr>
          <w:i/>
          <w:iCs/>
          <w:color w:val="595959"/>
          <w:sz w:val="16"/>
          <w:szCs w:val="16"/>
        </w:rPr>
        <w:t xml:space="preserve">Prepared to support future submission of an Information Systems Strategic Plan (ISSP) per DICT/MITHI ISSP standards.</w:t>
      </w:r>
    </w:p>
    <w:p>
      <w:pPr>
        <w:pStyle w:val="Heading2"/>
        <w:spacing w:after="60" w:before="120"/>
      </w:pPr>
      <w:r>
        <w:rPr>
          <w:b/>
          <w:bCs/>
          <w:color w:val="000000"/>
          <w:sz w:val="21"/>
          <w:szCs w:val="21"/>
        </w:rPr>
        <w:t xml:space="preserve">Purpose</w:t>
      </w:r>
    </w:p>
    <w:p>
      <w:pPr>
        <w:spacing w:after="60"/>
      </w:pPr>
      <w:r>
        <w:rPr>
          <w:sz w:val="18"/>
          <w:szCs w:val="18"/>
        </w:rPr>
        <w:t xml:space="preserve">The City is not currently required to submit an Information Systems Strategic Plan (ISSP) — submission is optional for LGUs under NCC Memorandum Circular No. 99-01. However, if the City chooses to submit one and it is endorsed by DICT/NCC and approved by the Sangguniang Panlungsod, it becomes the official basis for this platform's IT resource acquisitions and budget requests.</w:t>
      </w:r>
    </w:p>
    <w:p>
      <w:pPr>
        <w:spacing w:after="60"/>
      </w:pPr>
      <w:r>
        <w:rPr>
          <w:sz w:val="18"/>
          <w:szCs w:val="18"/>
        </w:rPr>
        <w:t xml:space="preserve">This note summarizes what the One Mandaluyong Super App README (v1.6.0) already satisfies against the DICT ISSP template, and what remains to be supplied before a complete ISSP could be assembled.</w:t>
      </w:r>
    </w:p>
    <w:p>
      <w:pPr>
        <w:pStyle w:val="Heading2"/>
        <w:spacing w:after="60" w:before="120"/>
      </w:pPr>
      <w:r>
        <w:rPr>
          <w:b/>
          <w:bCs/>
          <w:color w:val="000000"/>
          <w:sz w:val="21"/>
          <w:szCs w:val="21"/>
        </w:rPr>
        <w:t xml:space="preserve">Coverage Against the DICT ISSP Template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800"/>
        <w:gridCol w:w="2500"/>
      </w:tblGrid>
      <w:tr>
        <w:tc>
          <w:tcPr>
            <w:tcW w:type="pct" w:w="34%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6"/>
                <w:szCs w:val="16"/>
              </w:rPr>
              <w:t xml:space="preserve">ISSP Section</w:t>
            </w:r>
          </w:p>
        </w:tc>
        <w:tc>
          <w:tcPr>
            <w:tcW w:type="pct" w:w="40%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6"/>
                <w:szCs w:val="16"/>
              </w:rPr>
              <w:t xml:space="preserve">Already Covered By README</w:t>
            </w:r>
          </w:p>
        </w:tc>
        <w:tc>
          <w:tcPr>
            <w:tcW w:type="pct" w:w="26%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6"/>
                <w:szCs w:val="16"/>
              </w:rPr>
              <w:t xml:space="preserve">Status</w:t>
            </w:r>
          </w:p>
        </w:tc>
      </w:tr>
      <w:tr>
        <w:tc>
          <w:tcPr>
            <w:tcW w:type="pct" w:w="33%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6"/>
                <w:szCs w:val="16"/>
              </w:rPr>
              <w:t xml:space="preserve">Mandate, Vision, Mission (Part I.A)</w:t>
            </w:r>
          </w:p>
        </w:tc>
        <w:tc>
          <w:tcPr>
            <w:tcW w:type="pct" w:w="33%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6"/>
                <w:szCs w:val="16"/>
              </w:rPr>
              <w:t xml:space="preserve">Sections 1–3</w:t>
            </w:r>
          </w:p>
        </w:tc>
        <w:tc>
          <w:tcPr>
            <w:tcW w:type="pct" w:w="33%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6"/>
                <w:szCs w:val="16"/>
              </w:rPr>
              <w:t xml:space="preserve">Ready</w:t>
            </w:r>
          </w:p>
        </w:tc>
      </w:tr>
      <w:tr>
        <w:tc>
          <w:tcPr>
            <w:tcW w:type="pct" w:w="33%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6"/>
                <w:szCs w:val="16"/>
              </w:rPr>
              <w:t xml:space="preserve">Agency Profile — planner, budget, headcount (Part I.B)</w:t>
            </w:r>
          </w:p>
        </w:tc>
        <w:tc>
          <w:tcPr>
            <w:tcW w:type="pct" w:w="33%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6"/>
                <w:szCs w:val="16"/>
              </w:rPr>
              <w:t xml:space="preserve">Not addressed</w:t>
            </w:r>
          </w:p>
        </w:tc>
        <w:tc>
          <w:tcPr>
            <w:tcW w:type="pct" w:w="33%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6"/>
                <w:szCs w:val="16"/>
              </w:rPr>
              <w:t xml:space="preserve">Needs City data</w:t>
            </w:r>
          </w:p>
        </w:tc>
      </w:tr>
      <w:tr>
        <w:tc>
          <w:tcPr>
            <w:tcW w:type="pct" w:w="33%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6"/>
                <w:szCs w:val="16"/>
              </w:rPr>
              <w:t xml:space="preserve">Stakeholder / Client Chart (Part I.C)</w:t>
            </w:r>
          </w:p>
        </w:tc>
        <w:tc>
          <w:tcPr>
            <w:tcW w:type="pct" w:w="33%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6"/>
                <w:szCs w:val="16"/>
              </w:rPr>
              <w:t xml:space="preserve">Section 10 (list form)</w:t>
            </w:r>
          </w:p>
        </w:tc>
        <w:tc>
          <w:tcPr>
            <w:tcW w:type="pct" w:w="33%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6"/>
                <w:szCs w:val="16"/>
              </w:rPr>
              <w:t xml:space="preserve">Ready, needs diagram</w:t>
            </w:r>
          </w:p>
        </w:tc>
      </w:tr>
      <w:tr>
        <w:tc>
          <w:tcPr>
            <w:tcW w:type="pct" w:w="33%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6"/>
                <w:szCs w:val="16"/>
              </w:rPr>
              <w:t xml:space="preserve">Current ICT Situation &amp; Strategic Concerns (Part I.D–E)</w:t>
            </w:r>
          </w:p>
        </w:tc>
        <w:tc>
          <w:tcPr>
            <w:tcW w:type="pct" w:w="33%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6"/>
                <w:szCs w:val="16"/>
              </w:rPr>
              <w:t xml:space="preserve">Section 7</w:t>
            </w:r>
          </w:p>
        </w:tc>
        <w:tc>
          <w:tcPr>
            <w:tcW w:type="pct" w:w="33%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6"/>
                <w:szCs w:val="16"/>
              </w:rPr>
              <w:t xml:space="preserve">Ready, needs reformat</w:t>
            </w:r>
          </w:p>
        </w:tc>
      </w:tr>
      <w:tr>
        <w:tc>
          <w:tcPr>
            <w:tcW w:type="pct" w:w="33%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6"/>
                <w:szCs w:val="16"/>
              </w:rPr>
              <w:t xml:space="preserve">Conceptual IS Framework (Part II.A)</w:t>
            </w:r>
          </w:p>
        </w:tc>
        <w:tc>
          <w:tcPr>
            <w:tcW w:type="pct" w:w="33%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6"/>
                <w:szCs w:val="16"/>
              </w:rPr>
              <w:t xml:space="preserve">Section 13</w:t>
            </w:r>
          </w:p>
        </w:tc>
        <w:tc>
          <w:tcPr>
            <w:tcW w:type="pct" w:w="33%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6"/>
                <w:szCs w:val="16"/>
              </w:rPr>
              <w:t xml:space="preserve">Ready</w:t>
            </w:r>
          </w:p>
        </w:tc>
      </w:tr>
      <w:tr>
        <w:tc>
          <w:tcPr>
            <w:tcW w:type="pct" w:w="33%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6"/>
                <w:szCs w:val="16"/>
              </w:rPr>
              <w:t xml:space="preserve">Detailed IS Descriptions (Part II.B)</w:t>
            </w:r>
          </w:p>
        </w:tc>
        <w:tc>
          <w:tcPr>
            <w:tcW w:type="pct" w:w="33%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6"/>
                <w:szCs w:val="16"/>
              </w:rPr>
              <w:t xml:space="preserve">Section 14</w:t>
            </w:r>
          </w:p>
        </w:tc>
        <w:tc>
          <w:tcPr>
            <w:tcW w:type="pct" w:w="33%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6"/>
                <w:szCs w:val="16"/>
              </w:rPr>
              <w:t xml:space="preserve">Ready</w:t>
            </w:r>
          </w:p>
        </w:tc>
      </w:tr>
      <w:tr>
        <w:tc>
          <w:tcPr>
            <w:tcW w:type="pct" w:w="33%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6"/>
                <w:szCs w:val="16"/>
              </w:rPr>
              <w:t xml:space="preserve">Databases Required (Part II.C)</w:t>
            </w:r>
          </w:p>
        </w:tc>
        <w:tc>
          <w:tcPr>
            <w:tcW w:type="pct" w:w="33%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6"/>
                <w:szCs w:val="16"/>
              </w:rPr>
              <w:t xml:space="preserve">Section 17</w:t>
            </w:r>
          </w:p>
        </w:tc>
        <w:tc>
          <w:tcPr>
            <w:tcW w:type="pct" w:w="33%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6"/>
                <w:szCs w:val="16"/>
              </w:rPr>
              <w:t xml:space="preserve">Ready</w:t>
            </w:r>
          </w:p>
        </w:tc>
      </w:tr>
      <w:tr>
        <w:tc>
          <w:tcPr>
            <w:tcW w:type="pct" w:w="33%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6"/>
                <w:szCs w:val="16"/>
              </w:rPr>
              <w:t xml:space="preserve">Network Layout (Part II.D)</w:t>
            </w:r>
          </w:p>
        </w:tc>
        <w:tc>
          <w:tcPr>
            <w:tcW w:type="pct" w:w="33%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6"/>
                <w:szCs w:val="16"/>
              </w:rPr>
              <w:t xml:space="preserve">Section 20 (no diagram)</w:t>
            </w:r>
          </w:p>
        </w:tc>
        <w:tc>
          <w:tcPr>
            <w:tcW w:type="pct" w:w="33%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6"/>
                <w:szCs w:val="16"/>
              </w:rPr>
              <w:t xml:space="preserve">Needs diagram</w:t>
            </w:r>
          </w:p>
        </w:tc>
      </w:tr>
      <w:tr>
        <w:tc>
          <w:tcPr>
            <w:tcW w:type="pct" w:w="33%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6"/>
                <w:szCs w:val="16"/>
              </w:rPr>
              <w:t xml:space="preserve">ICT Projects, Internal &amp; Cross-Agency (Part III.A–B)</w:t>
            </w:r>
          </w:p>
        </w:tc>
        <w:tc>
          <w:tcPr>
            <w:tcW w:type="pct" w:w="33%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6"/>
                <w:szCs w:val="16"/>
              </w:rPr>
              <w:t xml:space="preserve">Sections 25, 29</w:t>
            </w:r>
          </w:p>
        </w:tc>
        <w:tc>
          <w:tcPr>
            <w:tcW w:type="pct" w:w="33%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6"/>
                <w:szCs w:val="16"/>
              </w:rPr>
              <w:t xml:space="preserve">Ready, needs reformat</w:t>
            </w:r>
          </w:p>
        </w:tc>
      </w:tr>
      <w:tr>
        <w:tc>
          <w:tcPr>
            <w:tcW w:type="pct" w:w="33%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6"/>
                <w:szCs w:val="16"/>
              </w:rPr>
              <w:t xml:space="preserve">Performance Measurement Framework (Part III.C)</w:t>
            </w:r>
          </w:p>
        </w:tc>
        <w:tc>
          <w:tcPr>
            <w:tcW w:type="pct" w:w="33%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6"/>
                <w:szCs w:val="16"/>
              </w:rPr>
              <w:t xml:space="preserve">Section 26</w:t>
            </w:r>
          </w:p>
        </w:tc>
        <w:tc>
          <w:tcPr>
            <w:tcW w:type="pct" w:w="33%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6"/>
                <w:szCs w:val="16"/>
              </w:rPr>
              <w:t xml:space="preserve">Ready, needs reformat</w:t>
            </w:r>
          </w:p>
        </w:tc>
      </w:tr>
      <w:tr>
        <w:tc>
          <w:tcPr>
            <w:tcW w:type="pct" w:w="33%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6"/>
                <w:szCs w:val="16"/>
              </w:rPr>
              <w:t xml:space="preserve">ICT Equipment &amp; Services Cost (Part IV.A)</w:t>
            </w:r>
          </w:p>
        </w:tc>
        <w:tc>
          <w:tcPr>
            <w:tcW w:type="pct" w:w="33%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6"/>
                <w:szCs w:val="16"/>
              </w:rPr>
              <w:t xml:space="preserve">Not addressed</w:t>
            </w:r>
          </w:p>
        </w:tc>
        <w:tc>
          <w:tcPr>
            <w:tcW w:type="pct" w:w="33%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6"/>
                <w:szCs w:val="16"/>
              </w:rPr>
              <w:t xml:space="preserve">Needs City data</w:t>
            </w:r>
          </w:p>
        </w:tc>
      </w:tr>
      <w:tr>
        <w:tc>
          <w:tcPr>
            <w:tcW w:type="pct" w:w="33%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6"/>
                <w:szCs w:val="16"/>
              </w:rPr>
              <w:t xml:space="preserve">ICT Organizational Structure &amp; Headcount (Part IV.B)</w:t>
            </w:r>
          </w:p>
        </w:tc>
        <w:tc>
          <w:tcPr>
            <w:tcW w:type="pct" w:w="33%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6"/>
                <w:szCs w:val="16"/>
              </w:rPr>
              <w:t xml:space="preserve">Section 11 (roles only)</w:t>
            </w:r>
          </w:p>
        </w:tc>
        <w:tc>
          <w:tcPr>
            <w:tcW w:type="pct" w:w="33%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6"/>
                <w:szCs w:val="16"/>
              </w:rPr>
              <w:t xml:space="preserve">Needs City data</w:t>
            </w:r>
          </w:p>
        </w:tc>
      </w:tr>
      <w:tr>
        <w:tc>
          <w:tcPr>
            <w:tcW w:type="pct" w:w="33%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6"/>
                <w:szCs w:val="16"/>
              </w:rPr>
              <w:t xml:space="preserve">Implementation Schedules (Part V.A–B)</w:t>
            </w:r>
          </w:p>
        </w:tc>
        <w:tc>
          <w:tcPr>
            <w:tcW w:type="pct" w:w="33%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6"/>
                <w:szCs w:val="16"/>
              </w:rPr>
              <w:t xml:space="preserve">Section 25</w:t>
            </w:r>
          </w:p>
        </w:tc>
        <w:tc>
          <w:tcPr>
            <w:tcW w:type="pct" w:w="33%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6"/>
                <w:szCs w:val="16"/>
              </w:rPr>
              <w:t xml:space="preserve">Ready, needs reformat</w:t>
            </w:r>
          </w:p>
        </w:tc>
      </w:tr>
      <w:tr>
        <w:tc>
          <w:tcPr>
            <w:tcW w:type="pct" w:w="33%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6"/>
                <w:szCs w:val="16"/>
              </w:rPr>
              <w:t xml:space="preserve">Investment Program &amp; Cost Breakdown (Part V.C–D)</w:t>
            </w:r>
          </w:p>
        </w:tc>
        <w:tc>
          <w:tcPr>
            <w:tcW w:type="pct" w:w="33%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6"/>
                <w:szCs w:val="16"/>
              </w:rPr>
              <w:t xml:space="preserve">Not addressed</w:t>
            </w:r>
          </w:p>
        </w:tc>
        <w:tc>
          <w:tcPr>
            <w:tcW w:type="pct" w:w="33%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6"/>
                <w:szCs w:val="16"/>
              </w:rPr>
              <w:t xml:space="preserve">Needs City data</w:t>
            </w:r>
          </w:p>
        </w:tc>
      </w:tr>
    </w:tbl>
    <w:p>
      <w:pPr>
        <w:pStyle w:val="Heading2"/>
        <w:spacing w:after="60" w:before="120"/>
      </w:pPr>
      <w:r>
        <w:rPr>
          <w:b/>
          <w:bCs/>
          <w:color w:val="000000"/>
          <w:sz w:val="21"/>
          <w:szCs w:val="21"/>
        </w:rPr>
        <w:t xml:space="preserve">What Needs to Happen Next</w:t>
      </w:r>
    </w:p>
    <w:p>
      <w:pPr>
        <w:spacing w:after="60"/>
      </w:pPr>
      <w:r>
        <w:rPr>
          <w:sz w:val="18"/>
          <w:szCs w:val="18"/>
        </w:rPr>
        <w:t xml:space="preserve">The strategic and architectural content of an ISSP — vision, systems, databases, KPIs, governance intent — is already substantially covered by the existing README. What remains is administrative and financial information that only the City Government can supply: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0"/>
        <w:gridCol w:w="4750"/>
      </w:tblGrid>
      <w:tr>
        <w:tc>
          <w:tcPr>
            <w:tcW w:type="pct" w:w="50%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6"/>
                <w:szCs w:val="16"/>
              </w:rPr>
              <w:t xml:space="preserve">Data Needed</w:t>
            </w:r>
          </w:p>
        </w:tc>
        <w:tc>
          <w:tcPr>
            <w:tcW w:type="pct" w:w="50%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6"/>
                <w:szCs w:val="16"/>
              </w:rPr>
              <w:t xml:space="preserve">Likely Source</w:t>
            </w:r>
          </w:p>
        </w:tc>
      </w:tr>
      <w:tr>
        <w:tc>
          <w:tcPr>
            <w:tcW w:type="pct" w:w="33%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6"/>
                <w:szCs w:val="16"/>
              </w:rPr>
              <w:t xml:space="preserve">Name and designation of an IS Planner or CIO for this platform</w:t>
            </w:r>
          </w:p>
        </w:tc>
        <w:tc>
          <w:tcPr>
            <w:tcW w:type="pct" w:w="33%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6"/>
                <w:szCs w:val="16"/>
              </w:rPr>
              <w:t xml:space="preserve">City Administrator's Department</w:t>
            </w:r>
          </w:p>
        </w:tc>
      </w:tr>
      <w:tr>
        <w:tc>
          <w:tcPr>
            <w:tcW w:type="pct" w:w="33%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6"/>
                <w:szCs w:val="16"/>
              </w:rPr>
              <w:t xml:space="preserve">Current annual ICT budget and per-year projected cost for Phase 0–4</w:t>
            </w:r>
          </w:p>
        </w:tc>
        <w:tc>
          <w:tcPr>
            <w:tcW w:type="pct" w:w="33%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6"/>
                <w:szCs w:val="16"/>
              </w:rPr>
              <w:t xml:space="preserve">City Budget Department</w:t>
            </w:r>
          </w:p>
        </w:tc>
      </w:tr>
      <w:tr>
        <w:tc>
          <w:tcPr>
            <w:tcW w:type="pct" w:w="33%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6"/>
                <w:szCs w:val="16"/>
              </w:rPr>
              <w:t xml:space="preserve">Existing and proposed ICT staffing plantilla (headcounts, positions)</w:t>
            </w:r>
          </w:p>
        </w:tc>
        <w:tc>
          <w:tcPr>
            <w:tcW w:type="pct" w:w="33%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6"/>
                <w:szCs w:val="16"/>
              </w:rPr>
              <w:t xml:space="preserve">City HRMO</w:t>
            </w:r>
          </w:p>
        </w:tc>
      </w:tr>
      <w:tr>
        <w:tc>
          <w:tcPr>
            <w:tcW w:type="pct" w:w="33%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6"/>
                <w:szCs w:val="16"/>
              </w:rPr>
              <w:t xml:space="preserve">Formal confirmation of the IT Steering Committee and Architecture Review Board membership</w:t>
            </w:r>
          </w:p>
        </w:tc>
        <w:tc>
          <w:tcPr>
            <w:tcW w:type="pct" w:w="33%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6"/>
                <w:szCs w:val="16"/>
              </w:rPr>
              <w:t xml:space="preserve">City Administrator's Department</w:t>
            </w:r>
          </w:p>
        </w:tc>
      </w:tr>
    </w:tbl>
    <w:p>
      <w:pPr>
        <w:pStyle w:val="Heading2"/>
        <w:spacing w:after="60" w:before="120"/>
      </w:pPr>
      <w:r>
        <w:rPr>
          <w:b/>
          <w:bCs/>
          <w:color w:val="000000"/>
          <w:sz w:val="21"/>
          <w:szCs w:val="21"/>
        </w:rPr>
        <w:t xml:space="preserve">Recommendation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18"/>
          <w:szCs w:val="18"/>
        </w:rPr>
        <w:t xml:space="preserve">Decide whether the City intends to pursue formal ISSP submission at all, given it is optional for LGUs.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18"/>
          <w:szCs w:val="18"/>
        </w:rPr>
        <w:t xml:space="preserve">If yes, request the four data items above from the relevant offices before drafting the full ISSP document.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18"/>
          <w:szCs w:val="18"/>
        </w:rPr>
        <w:t xml:space="preserve">If not pursuing formal DICT endorsement, the README continues to serve as the platform's internal strategic and architectural reference on its own.</w:t>
      </w:r>
    </w:p>
    <w:p>
      <w:pPr>
        <w:pBdr>
          <w:top w:val="single" w:color="D9D9D9" w:sz="6" w:space="8"/>
        </w:pBdr>
        <w:spacing w:before="300"/>
      </w:pPr>
      <w:r>
        <w:rPr>
          <w:i/>
          <w:iCs/>
          <w:color w:val="595959"/>
          <w:sz w:val="16"/>
          <w:szCs w:val="16"/>
        </w:rPr>
        <w:t xml:space="preserve">Reference: Information Systems Strategic Plan (ISSP) requirements per DICT/MITHI; NCC Memorandum Circular No. 99-01, Section 3.4 (ISSP submission optional for LGUs).</w:t>
      </w:r>
    </w:p>
    <w:sectPr>
      <w:pgSz w:w="12240" w:h="15840" w:orient="portrait"/>
      <w:pgMar w:top="620" w:right="900" w:bottom="6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2026-07-05T08:15:57.084Z</dcterms:created>
  <dcterms:modified xsi:type="dcterms:W3CDTF">2026-07-05T08:15:57.085Z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