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0"/>
          <w:szCs w:val="20"/>
        </w:rPr>
      </w:pPr>
      <w:bookmarkStart w:colFirst="0" w:colLast="0" w:name="_vla6512gv63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Research Method-Fit Matrix (revised v1.1)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PhD in Deep Tech — UNMSM · Session 2 · Juseph Montesinos Asmat</w:t>
      </w:r>
    </w:p>
    <w:p w:rsidR="00000000" w:rsidDel="00000000" w:rsidP="00000000" w:rsidRDefault="00000000" w:rsidRPr="00000000" w14:paraId="00000003">
      <w:pPr>
        <w:spacing w:after="100" w:before="320" w:line="360" w:lineRule="auto"/>
        <w:ind w:left="-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Research question (refined from Session 1)</w:t>
      </w:r>
    </w:p>
    <w:p w:rsidR="00000000" w:rsidDel="00000000" w:rsidP="00000000" w:rsidRDefault="00000000" w:rsidRPr="00000000" w14:paraId="00000004">
      <w:pPr>
        <w:spacing w:after="22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can an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advisory</w:t>
      </w:r>
      <w:r w:rsidDel="00000000" w:rsidR="00000000" w:rsidRPr="00000000">
        <w:rPr>
          <w:sz w:val="20"/>
          <w:szCs w:val="20"/>
          <w:rtl w:val="0"/>
        </w:rPr>
        <w:t xml:space="preserve"> digital twin for decision support and energy-and-capacity optimization be designed for mid-sized Peruvian data centers with limited telemetry (INSUR pilot case), and how can it be evaluated — both its validity as a model and its utility for decisions — as improving operational decisions over manual management, such that its design principles are transferable to other sites?</w:t>
      </w:r>
    </w:p>
    <w:p w:rsidR="00000000" w:rsidDel="00000000" w:rsidP="00000000" w:rsidRDefault="00000000" w:rsidRPr="00000000" w14:paraId="00000005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Paradigm (Session 1):</w:t>
      </w:r>
      <w:r w:rsidDel="00000000" w:rsidR="00000000" w:rsidRPr="00000000">
        <w:rPr>
          <w:sz w:val="20"/>
          <w:szCs w:val="20"/>
          <w:rtl w:val="0"/>
        </w:rPr>
        <w:t xml:space="preserve"> Design Science ·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Epistemology:</w:t>
      </w:r>
      <w:r w:rsidDel="00000000" w:rsidR="00000000" w:rsidRPr="00000000">
        <w:rPr>
          <w:sz w:val="20"/>
          <w:szCs w:val="20"/>
          <w:rtl w:val="0"/>
        </w:rPr>
        <w:t xml:space="preserve"> pragmatism</w:t>
      </w:r>
    </w:p>
    <w:p w:rsidR="00000000" w:rsidDel="00000000" w:rsidP="00000000" w:rsidRDefault="00000000" w:rsidRPr="00000000" w14:paraId="00000006">
      <w:pPr>
        <w:spacing w:after="100" w:before="320" w:line="360" w:lineRule="auto"/>
        <w:ind w:left="-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Three candidate methods </w:t>
      </w:r>
    </w:p>
    <w:p w:rsidR="00000000" w:rsidDel="00000000" w:rsidP="00000000" w:rsidRDefault="00000000" w:rsidRPr="00000000" w14:paraId="00000007">
      <w:pPr>
        <w:spacing w:after="100" w:before="100" w:line="360" w:lineRule="auto"/>
        <w:ind w:left="90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— Design Science:</w:t>
      </w:r>
      <w:r w:rsidDel="00000000" w:rsidR="00000000" w:rsidRPr="00000000">
        <w:rPr>
          <w:sz w:val="20"/>
          <w:szCs w:val="20"/>
          <w:rtl w:val="0"/>
        </w:rPr>
        <w:t xml:space="preserve"> build and evaluate an artifact, validated by utility.</w:t>
      </w:r>
    </w:p>
    <w:p w:rsidR="00000000" w:rsidDel="00000000" w:rsidP="00000000" w:rsidRDefault="00000000" w:rsidRPr="00000000" w14:paraId="00000008">
      <w:pPr>
        <w:spacing w:after="100" w:before="100" w:line="360" w:lineRule="auto"/>
        <w:ind w:left="90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 — Simulation:</w:t>
      </w:r>
      <w:r w:rsidDel="00000000" w:rsidR="00000000" w:rsidRPr="00000000">
        <w:rPr>
          <w:sz w:val="20"/>
          <w:szCs w:val="20"/>
          <w:rtl w:val="0"/>
        </w:rPr>
        <w:t xml:space="preserve"> model the system and run "what-if" scenarios.</w:t>
      </w:r>
    </w:p>
    <w:p w:rsidR="00000000" w:rsidDel="00000000" w:rsidP="00000000" w:rsidRDefault="00000000" w:rsidRPr="00000000" w14:paraId="00000009">
      <w:pPr>
        <w:spacing w:after="100" w:before="100" w:line="360" w:lineRule="auto"/>
        <w:ind w:left="90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 — Case Study (multiple):</w:t>
      </w:r>
      <w:r w:rsidDel="00000000" w:rsidR="00000000" w:rsidRPr="00000000">
        <w:rPr>
          <w:sz w:val="20"/>
          <w:szCs w:val="20"/>
          <w:rtl w:val="0"/>
        </w:rPr>
        <w:t xml:space="preserve"> one or more bounded sites studied in depth.</w:t>
      </w:r>
    </w:p>
    <w:p w:rsidR="00000000" w:rsidDel="00000000" w:rsidP="00000000" w:rsidRDefault="00000000" w:rsidRPr="00000000" w14:paraId="0000000A">
      <w:pPr>
        <w:spacing w:after="100" w:before="320" w:line="360" w:lineRule="auto"/>
        <w:ind w:left="-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Fit matrix (E.D.F.C.V.)</w:t>
      </w:r>
    </w:p>
    <w:p w:rsidR="00000000" w:rsidDel="00000000" w:rsidP="00000000" w:rsidRDefault="00000000" w:rsidRPr="00000000" w14:paraId="0000000B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Weights (sum to 100):</w:t>
      </w:r>
      <w:r w:rsidDel="00000000" w:rsidR="00000000" w:rsidRPr="00000000">
        <w:rPr>
          <w:sz w:val="20"/>
          <w:szCs w:val="20"/>
          <w:rtl w:val="0"/>
        </w:rPr>
        <w:t xml:space="preserve"> E=20 · D=15 · F=20 · C=30 · V=15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 rule: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E ≤ 2 eliminates the method (regardless of other scores).</w:t>
      </w:r>
    </w:p>
    <w:tbl>
      <w:tblPr>
        <w:tblStyle w:val="Table1"/>
        <w:tblW w:w="93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10"/>
        <w:gridCol w:w="1185"/>
        <w:gridCol w:w="1200"/>
        <w:gridCol w:w="1290"/>
        <w:gridCol w:w="4305"/>
        <w:tblGridChange w:id="0">
          <w:tblGrid>
            <w:gridCol w:w="1410"/>
            <w:gridCol w:w="1185"/>
            <w:gridCol w:w="1200"/>
            <w:gridCol w:w="1290"/>
            <w:gridCol w:w="4305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Criterion (weight)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· Design Science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 · Simulation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 · Case Study (multiple)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One-line justification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· Epistemological fit 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(20)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DSR and Simulation are natural fits for my paradigm; multiple case requires a cited warrant (Yin multi-case, Flyvbjerg 2006).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· Data availability (15)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Confirmed access to logs and component telemetry (XClarity, VMware, Spectrum Control, PDUs) at INSUR and a second site; no DCIM/sensors → not 5.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· Feasibility (20)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 buildable and integrable; a second site adds field logistics; viable within 3 years.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· Contribution type 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(30)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DSR yields artifact + transferable design principles (my goal). Simulation yields a novel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what-if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comparison across small Peruvian DCs. Case yields analytical generalization, but describes rather than builds.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· Venue fit (15)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DESRIST publishes multi-site DSR; Simulation → WinterSim; Case outside the DSR circuit.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GATE (E≤2 eliminates)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survives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survives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survives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falls. Won on C and V, as it should.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Raw total /25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Weighted total /500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465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high weight on C widens DSR's lead (a sign of honest weighting).</w:t>
            </w:r>
          </w:p>
        </w:tc>
      </w:tr>
    </w:tbl>
    <w:p w:rsidR="00000000" w:rsidDel="00000000" w:rsidP="00000000" w:rsidRDefault="00000000" w:rsidRPr="00000000" w14:paraId="0000003B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00" w:before="320" w:line="360" w:lineRule="auto"/>
        <w:ind w:left="-2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Defending the weights</w:t>
      </w:r>
    </w:p>
    <w:p w:rsidR="00000000" w:rsidDel="00000000" w:rsidP="00000000" w:rsidRDefault="00000000" w:rsidRPr="00000000" w14:paraId="0000003D">
      <w:pPr>
        <w:spacing w:after="220"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Highest weight — C (30):</w:t>
      </w:r>
      <w:r w:rsidDel="00000000" w:rsidR="00000000" w:rsidRPr="00000000">
        <w:rPr>
          <w:sz w:val="20"/>
          <w:szCs w:val="20"/>
          <w:rtl w:val="0"/>
        </w:rPr>
        <w:t xml:space="preserve"> "I weighted contribution highest because a doctorate is justified by producing new, verifiable knowledge — a resolved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gap</w:t>
      </w:r>
      <w:r w:rsidDel="00000000" w:rsidR="00000000" w:rsidRPr="00000000">
        <w:rPr>
          <w:sz w:val="20"/>
          <w:szCs w:val="20"/>
          <w:rtl w:val="0"/>
        </w:rPr>
        <w:t xml:space="preserve"> — not by building an application; without an original contribution there is no doctoral thesis."</w:t>
      </w:r>
    </w:p>
    <w:p w:rsidR="00000000" w:rsidDel="00000000" w:rsidP="00000000" w:rsidRDefault="00000000" w:rsidRPr="00000000" w14:paraId="0000003E">
      <w:pPr>
        <w:spacing w:after="220"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Lowest weights — D (15) and V (15):</w:t>
      </w:r>
      <w:r w:rsidDel="00000000" w:rsidR="00000000" w:rsidRPr="00000000">
        <w:rPr>
          <w:sz w:val="20"/>
          <w:szCs w:val="20"/>
          <w:rtl w:val="0"/>
        </w:rPr>
        <w:t xml:space="preserve"> "I weighted data availability low because I already have confirmed access to INSUR and a second site; data is not my bottleneck. And I weighted venue low because the contribution defines where to publish, not the reverse."</w:t>
      </w:r>
    </w:p>
    <w:p w:rsidR="00000000" w:rsidDel="00000000" w:rsidP="00000000" w:rsidRDefault="00000000" w:rsidRPr="00000000" w14:paraId="0000003F">
      <w:pPr>
        <w:spacing w:after="220"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 E (20), when probed:</w:t>
      </w:r>
      <w:r w:rsidDel="00000000" w:rsidR="00000000" w:rsidRPr="00000000">
        <w:rPr>
          <w:sz w:val="20"/>
          <w:szCs w:val="20"/>
          <w:rtl w:val="0"/>
        </w:rPr>
        <w:t xml:space="preserve"> "I did not give E the top weight because E is already protected by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gate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(E≤2 eliminates): I gave it the highest power in the matrix, the power to discard. And I weight F (20) because real feasibility within three years is a hard filter that removes unbuildable projects."</w:t>
      </w:r>
    </w:p>
    <w:p w:rsidR="00000000" w:rsidDel="00000000" w:rsidP="00000000" w:rsidRDefault="00000000" w:rsidRPr="00000000" w14:paraId="00000040">
      <w:pPr>
        <w:spacing w:after="100" w:before="320" w:line="360" w:lineRule="auto"/>
        <w:ind w:left="-2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Winning method: Design Science</w:t>
      </w:r>
    </w:p>
    <w:p w:rsidR="00000000" w:rsidDel="00000000" w:rsidP="00000000" w:rsidRDefault="00000000" w:rsidRPr="00000000" w14:paraId="00000041">
      <w:pPr>
        <w:spacing w:after="22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choose Design Science because my contribution is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build and validate an artifact with demonstrated utility</w:t>
      </w:r>
      <w:r w:rsidDel="00000000" w:rsidR="00000000" w:rsidRPr="00000000">
        <w:rPr>
          <w:sz w:val="20"/>
          <w:szCs w:val="20"/>
          <w:rtl w:val="0"/>
        </w:rPr>
        <w:t xml:space="preserve"> (an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advisory</w:t>
      </w:r>
      <w:r w:rsidDel="00000000" w:rsidR="00000000" w:rsidRPr="00000000">
        <w:rPr>
          <w:sz w:val="20"/>
          <w:szCs w:val="20"/>
          <w:rtl w:val="0"/>
        </w:rPr>
        <w:t xml:space="preserve"> digital twin), and because only DSR produces the kind of knowledge my question demands: an artifact plus transferable design principles, evaluated in real operations and generalizable across sites. I reject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Simulation</w:t>
      </w:r>
      <w:r w:rsidDel="00000000" w:rsidR="00000000" w:rsidRPr="00000000">
        <w:rPr>
          <w:sz w:val="20"/>
          <w:szCs w:val="20"/>
          <w:rtl w:val="0"/>
        </w:rPr>
        <w:t xml:space="preserve"> because it predicts scenarios without demonstrating utility in real operations; I reject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Case Study</w:t>
      </w:r>
      <w:r w:rsidDel="00000000" w:rsidR="00000000" w:rsidRPr="00000000">
        <w:rPr>
          <w:sz w:val="20"/>
          <w:szCs w:val="20"/>
          <w:rtl w:val="0"/>
        </w:rPr>
        <w:t xml:space="preserve"> because it describes the site without building a solution.</w:t>
      </w:r>
    </w:p>
    <w:p w:rsidR="00000000" w:rsidDel="00000000" w:rsidP="00000000" w:rsidRDefault="00000000" w:rsidRPr="00000000" w14:paraId="00000042">
      <w:pPr>
        <w:spacing w:after="220" w:line="360" w:lineRule="auto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(Gregor &amp; Hevner, 2013: the contribution type is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exaptation —a known solution applied to a new domain—, not invention.)</w:t>
      </w:r>
    </w:p>
    <w:p w:rsidR="00000000" w:rsidDel="00000000" w:rsidP="00000000" w:rsidRDefault="00000000" w:rsidRPr="00000000" w14:paraId="00000043">
      <w:pPr>
        <w:spacing w:after="100" w:before="320" w:line="360" w:lineRule="auto"/>
        <w:ind w:left="-2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Exit commitment </w:t>
      </w:r>
    </w:p>
    <w:p w:rsidR="00000000" w:rsidDel="00000000" w:rsidP="00000000" w:rsidRDefault="00000000" w:rsidRPr="00000000" w14:paraId="00000044">
      <w:pPr>
        <w:spacing w:after="220" w:line="360" w:lineRule="auto"/>
        <w:ind w:left="6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"I will use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Science</w:t>
      </w:r>
      <w:r w:rsidDel="00000000" w:rsidR="00000000" w:rsidRPr="00000000">
        <w:rPr>
          <w:sz w:val="20"/>
          <w:szCs w:val="20"/>
          <w:rtl w:val="0"/>
        </w:rPr>
        <w:t xml:space="preserve"> because my contribution is an artifact validated by utility, and I reject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Simulation</w:t>
      </w:r>
      <w:r w:rsidDel="00000000" w:rsidR="00000000" w:rsidRPr="00000000">
        <w:rPr>
          <w:sz w:val="20"/>
          <w:szCs w:val="20"/>
          <w:rtl w:val="0"/>
        </w:rPr>
        <w:t xml:space="preserve"> because it does not demonstrate utility in real operations,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Case Study</w:t>
      </w:r>
      <w:r w:rsidDel="00000000" w:rsidR="00000000" w:rsidRPr="00000000">
        <w:rPr>
          <w:sz w:val="20"/>
          <w:szCs w:val="20"/>
          <w:rtl w:val="0"/>
        </w:rPr>
        <w:t xml:space="preserve"> because it does not build a solution."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425.1968503937008" w:left="1133.8582677165355" w:right="8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spacing w:after="240" w:before="240" w:lineRule="auto"/>
      <w:jc w:val="both"/>
      <w:rPr/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AI-use note (green zone): artificial-intelligence assistance was used to structure, edit, and review this document; the definition of the ideas, the paradigm justification, and the final wording are the author's own.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