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Pensionskasse der Alpina Werke AG</w:t>
      </w:r>
    </w:p>
    <w:p>
      <w:r>
        <w:rPr>
          <w:sz w:val="24"/>
        </w:rPr>
        <w:t>Protokoll der 2. Stiftungsratssitzung 2026</w:t>
      </w:r>
    </w:p>
    <w:p>
      <w:pPr>
        <w:spacing w:after="80"/>
      </w:pPr>
      <w:r>
        <w:t>Datum: Donnerstag, 11. Juni 2026, 14.00 – 17.15 Uhr | Ort: Sitzungszimmer Verwaltung, Zug, und via Teams</w:t>
      </w:r>
    </w:p>
    <w:p>
      <w:pPr>
        <w:spacing w:after="80"/>
      </w:pPr>
      <w:r>
        <w:t>Anwesend: R. Sutter (Präsident, AG-Vertretung), M. Bieri (Vizepräsidentin, AN-Vertretung), A. Frei (AG), C. Zeller (AG), P. Amrein (AN), S. Loosli (AN), Th. Wüthrich (Geschäftsführer), Dr. H. Rickenbach (Experte für berufliche Vorsorge, Traktanden 2–4), L. Gerber (Protokoll)</w:t>
      </w:r>
    </w:p>
    <w:p>
      <w:pPr>
        <w:spacing w:after="80"/>
      </w:pPr>
      <w:r>
        <w:t>Entschuldigt: keine | Vorsitz: R. Sutter</w:t>
      </w:r>
    </w:p>
    <w:p>
      <w:pPr>
        <w:spacing w:before="200" w:after="60"/>
      </w:pPr>
      <w:r>
        <w:rPr>
          <w:b/>
          <w:sz w:val="26"/>
        </w:rPr>
        <w:t>1. Protokoll der Sitzung vom 12. März 2026</w:t>
      </w:r>
    </w:p>
    <w:p>
      <w:pPr>
        <w:spacing w:after="80"/>
      </w:pPr>
      <w:r>
        <w:t>Das Protokoll wird ohne Änderungen genehmigt und verdankt. Zum Pendenzenpunkt „Überprüfung Rückstellungsreglement“ hält Th. Wüthrich fest, dass die Vorlage auf die Herbstsitzung verschoben wird, da die Grundlagen des Experten noch nicht vollständig vorliegen.</w:t>
      </w:r>
    </w:p>
    <w:p>
      <w:pPr>
        <w:spacing w:before="200" w:after="60"/>
      </w:pPr>
      <w:r>
        <w:rPr>
          <w:b/>
          <w:sz w:val="26"/>
        </w:rPr>
        <w:t>2. Jahresrechnung 2025, Bericht der Revisionsstelle</w:t>
      </w:r>
    </w:p>
    <w:p>
      <w:pPr>
        <w:spacing w:after="80"/>
      </w:pPr>
      <w:r>
        <w:t>Th. Wüthrich erläutert die Jahresrechnung 2025. Die Nettorendite beträgt 2.1 % (Vorjahr 6.4 %). Der Deckungsgrad nach Art. 44 BVV 2 sinkt per 31.12.2025 auf 108.4 % (Vorjahr 112.1 %). Die Wertschwankungsreserve ist damit zu rund 54 % geäufnet; das Zielniveau liegt bei 15.5 % der Vorsorgekapitalien. Die Verwaltungskosten pro Versicherten liegen bei CHF 312 (Vorjahr CHF 298), der Anstieg ist im Wesentlichen auf die Ablösung der Vorsorgesoftware zurückzuführen.</w:t>
      </w:r>
    </w:p>
    <w:p>
      <w:pPr>
        <w:spacing w:after="80"/>
      </w:pPr>
      <w:r>
        <w:t>Die Revisionsstelle bestätigt die Ordnungsmässigkeit ohne Einschränkung. C. Zeller fragt nach der Entwicklung der Verwaltungskosten; Th. Wüthrich sagt eine Vergleichsauswertung mit ähnlich grossen Kassen auf die Herbstsitzung zu.</w:t>
      </w:r>
    </w:p>
    <w:p>
      <w:pPr>
        <w:spacing w:after="80"/>
      </w:pPr>
      <w:r>
        <w:t>Beschluss: Die Jahresrechnung 2025 wird einstimmig genehmigt.</w:t>
      </w:r>
    </w:p>
    <w:p>
      <w:pPr>
        <w:spacing w:before="200" w:after="60"/>
      </w:pPr>
      <w:r>
        <w:rPr>
          <w:b/>
          <w:sz w:val="26"/>
        </w:rPr>
        <w:t>3. Bericht des Experten für berufliche Vorsorge</w:t>
      </w:r>
    </w:p>
    <w:p>
      <w:pPr>
        <w:spacing w:after="80"/>
      </w:pPr>
      <w:r>
        <w:t>Dr. H. Rickenbach stellt die versicherungstechnische Beurteilung per 31.12.2025 vor. Die Kasse ist im Sinne von Art. 52e BVG in ihrem Bestand gesichert. Er weist auf zwei Punkte hin:</w:t>
      </w:r>
    </w:p>
    <w:p>
      <w:pPr>
        <w:spacing w:after="80"/>
      </w:pPr>
      <w:r>
        <w:t>a) Der technische Zinssatz von 1.75 % liegt über dem nach heutiger Fachrichtlinie FRP 4 hergeleiteten Referenzwert. Der Experte empfiehlt eine Senkung auf 1.50 % per 31.12.2026. Die einmalige Belastung beträgt rund CHF 4.2 Mio. und ist aus der Wertschwankungsreserve finanzierbar; der Deckungsgrad reduziert sich dadurch rechnerisch um etwa 1.9 Prozentpunkte.</w:t>
      </w:r>
    </w:p>
    <w:p>
      <w:pPr>
        <w:spacing w:after="80"/>
      </w:pPr>
      <w:r>
        <w:t>b) Der Umwandlungssatz von 5.80 % im Alter 65 führt bei den heutigen Grundlagen zu Pensionierungsverlusten von rund CHF 1.1 Mio. pro Jahr. Der Experte empfiehlt eine gestaffelte Senkung auf 5.40 % bis 2029, verbunden mit Ausgleichsmassnahmen für die Jahrgänge nahe der Pensionierung.</w:t>
      </w:r>
    </w:p>
    <w:p>
      <w:pPr>
        <w:spacing w:after="80"/>
      </w:pPr>
      <w:r>
        <w:t>In der Diskussion weist M. Bieri darauf hin, dass eine Senkung ohne begleitende Kommunikation bei der Belegschaft nicht vermittelbar sei; die letzte Anpassung 2019 habe zu erheblicher Verunsicherung geführt. P. Amrein unterstützt dies und beantragt, die Kommunikation vor dem definitiven Beschluss aufzugleisen. A. Frei gibt zu bedenken, dass eine Verzögerung die Verluste fortschreibt.</w:t>
      </w:r>
    </w:p>
    <w:p>
      <w:pPr>
        <w:spacing w:after="80"/>
      </w:pPr>
      <w:r>
        <w:t>Beschluss: Der Stiftungsrat nimmt den Expertenbericht zur Kenntnis. Die Senkung des technischen Zinssatzes auf 1.50 % per 31.12.2026 wird im Grundsatz gutgeheissen; der formelle Beschluss erfolgt an der Herbstsitzung zusammen mit dem Rückstellungsreglement.</w:t>
      </w:r>
    </w:p>
    <w:p>
      <w:pPr>
        <w:spacing w:after="80"/>
      </w:pPr>
      <w:r>
        <w:t>Beschluss: Zum Umwandlungssatz wird kein Entscheid gefasst. Th. Wüthrich erarbeitet bis zur Herbstsitzung zwei Varianten der Staffelung inklusive Ausgleichsmassnahmen und Kostenfolgen.</w:t>
      </w:r>
    </w:p>
    <w:p>
      <w:pPr>
        <w:spacing w:before="200" w:after="60"/>
      </w:pPr>
      <w:r>
        <w:rPr>
          <w:b/>
          <w:sz w:val="26"/>
        </w:rPr>
        <w:t>4. Verzinsung der Altersguthaben 2026</w:t>
      </w:r>
    </w:p>
    <w:p>
      <w:pPr>
        <w:spacing w:after="80"/>
      </w:pPr>
      <w:r>
        <w:t>Diskussion über die Verzinsung im laufenden Jahr. S. Loosli beantragt eine Verzinsung von 2.0 % mit Verweis auf die Teuerung. Th. Wüthrich weist darauf hin, dass jeder zusätzliche Zinspunkt rund CHF 2.8 Mio. kostet und den Deckungsgrad um etwa 1.2 Prozentpunkte senkt.</w:t>
      </w:r>
    </w:p>
    <w:p>
      <w:pPr>
        <w:spacing w:after="80"/>
      </w:pPr>
      <w:r>
        <w:t>Beschluss: Die Altersguthaben werden 2026 mit dem BVG-Mindestzinssatz von 1.25 % verzinst. Über eine Zusatzverzinsung wird an der Herbstsitzung entschieden, sofern der Deckungsgrad per 30. September 2026 über 110 % liegt. Der Beschluss ergeht mit 4 zu 2 Stimmen.</w:t>
      </w:r>
    </w:p>
    <w:p>
      <w:pPr>
        <w:spacing w:before="200" w:after="60"/>
      </w:pPr>
      <w:r>
        <w:rPr>
          <w:b/>
          <w:sz w:val="26"/>
        </w:rPr>
        <w:t>5. Anlagestrategie und Rebalancing</w:t>
      </w:r>
    </w:p>
    <w:p>
      <w:pPr>
        <w:spacing w:after="80"/>
      </w:pPr>
      <w:r>
        <w:t>Die Immobilienquote liegt bei 26.4 % gegenüber einer strategischen Bandbreite von 18–24 %. Der Anlageausschuss beantragt ein Rebalancing über die nächsten zwei Quartale.</w:t>
      </w:r>
    </w:p>
    <w:p>
      <w:pPr>
        <w:spacing w:after="80"/>
      </w:pPr>
      <w:r>
        <w:t>Beschluss: Dem Antrag wird zugestimmt. Eine Überprüfung der Anlagestrategie inklusive ALM-Studie wird für 2027 vorgesehen.</w:t>
      </w:r>
    </w:p>
    <w:p>
      <w:pPr>
        <w:spacing w:before="200" w:after="60"/>
      </w:pPr>
      <w:r>
        <w:rPr>
          <w:b/>
          <w:sz w:val="26"/>
        </w:rPr>
        <w:t>6. Teilliquidation Standort Ost</w:t>
      </w:r>
    </w:p>
    <w:p>
      <w:pPr>
        <w:spacing w:after="80"/>
      </w:pPr>
      <w:r>
        <w:t>Infolge der Restrukturierung am Standort Ost verlassen per 31. August 2026 voraussichtlich 47 Versicherte die Kasse. Damit sind die Voraussetzungen des Teilliquidationsreglements erfüllt. Th. Wüthrich hält fest, dass die Personaldaten (Austrittsdaten, Beschäftigungsgrade, Lohnangaben) von der Personalabteilung bis 31. Juli 2026 vollständig vorliegen müssen, andernfalls verzögert sich das Verfahren um mindestens ein Quartal.</w:t>
      </w:r>
    </w:p>
    <w:p>
      <w:pPr>
        <w:spacing w:after="80"/>
      </w:pPr>
      <w:r>
        <w:t>Beschluss: Das Teilliquidationsverfahren wird per Stichtag 31. August 2026 eröffnet. Die Geschäftsführung informiert die betroffenen Versicherten nach Vorliegen der geprüften Zahlen.</w:t>
      </w:r>
    </w:p>
    <w:p>
      <w:pPr>
        <w:spacing w:before="200" w:after="60"/>
      </w:pPr>
      <w:r>
        <w:rPr>
          <w:b/>
          <w:sz w:val="26"/>
        </w:rPr>
        <w:t>7. Wahlen und Zusammensetzung</w:t>
      </w:r>
    </w:p>
    <w:p>
      <w:pPr>
        <w:spacing w:after="80"/>
      </w:pPr>
      <w:r>
        <w:t>C. Zeller tritt per 31. Dezember 2026 aus dem Stiftungsrat zurück. Die Arbeitgebervertretung ist bis zur Herbstsitzung neu zu besetzen. Der Präsident dankt für die Mitarbeit.</w:t>
      </w:r>
    </w:p>
    <w:p>
      <w:pPr>
        <w:spacing w:before="200" w:after="60"/>
      </w:pPr>
      <w:r>
        <w:rPr>
          <w:b/>
          <w:sz w:val="26"/>
        </w:rPr>
        <w:t>8. Kommunikation an die Versicherten</w:t>
      </w:r>
    </w:p>
    <w:p>
      <w:pPr>
        <w:spacing w:after="80"/>
      </w:pPr>
      <w:r>
        <w:t>M. Bieri hält fest, dass die anstehenden Anpassungen – technischer Zinssatz, Umwandlungssatz, Verzinsung – zusammen kommuniziert werden sollten und nicht in drei Schritten. Die Personalorientierungen sind für September 2026 an den drei Standorten vorgesehen. Offen ist, wer die Unterlagen erstellt und ob dafür externe Unterstützung beigezogen wird. Die Personalabteilung ist einzubeziehen; ein Termin ist noch nicht vereinbart.</w:t>
      </w:r>
    </w:p>
    <w:p>
      <w:pPr>
        <w:spacing w:after="80"/>
      </w:pPr>
      <w:r>
        <w:t>Der Stiftungsrat ist sich einig, dass die Information in verständlicher Sprache erfolgen muss und die Fachbegriffe zu erklären sind. Ein Entscheid über das Vorgehen wird an der Herbstsitzung gefasst.</w:t>
      </w:r>
    </w:p>
    <w:p>
      <w:pPr>
        <w:spacing w:before="200" w:after="60"/>
      </w:pPr>
      <w:r>
        <w:rPr>
          <w:b/>
          <w:sz w:val="26"/>
        </w:rPr>
        <w:t>9. Varia</w:t>
      </w:r>
    </w:p>
    <w:p>
      <w:pPr>
        <w:spacing w:after="80"/>
      </w:pPr>
      <w:r>
        <w:t>– Die Schulung für neue Stiftungsratsmitglieder wird auf Anfang 2027 verschoben.</w:t>
      </w:r>
    </w:p>
    <w:p>
      <w:pPr>
        <w:spacing w:after="80"/>
      </w:pPr>
      <w:r>
        <w:t>– Nächste Sitzung: Donnerstag, 24. September 2026, 14.00 Uhr.</w:t>
      </w:r>
    </w:p>
    <w:p/>
    <w:p>
      <w:pPr>
        <w:jc w:val="right"/>
      </w:pPr>
      <w:r>
        <w:t>Für das Protokoll: L. Gerber, 16. Juni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