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0B3A5D"/>
          <w:sz w:val="160"/>
          <w:szCs w:val="160"/>
        </w:rPr>
        <w:t xml:space="preserve">VANGUARDA MARTECH · RELATÓRIO EXECUTIVO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color w:val="12181F"/>
          <w:sz w:val="340"/>
          <w:szCs w:val="340"/>
        </w:rPr>
        <w:t xml:space="preserve">Arquitetura de dados Nekt: pilotos validados e camadas Trusted e Refined em produção</w:t>
      </w:r>
    </w:p>
    <w:p>
      <w:pPr>
        <w:spacing w:after="60" w:line="240"/>
      </w:pPr>
      <w:r>
        <w:rPr>
          <w:rFonts w:ascii="Calibri" w:cs="Calibri" w:eastAsia="Calibri" w:hAnsi="Calibri"/>
          <w:b/>
          <w:bCs/>
          <w:color w:val="3D4854"/>
          <w:sz w:val="170"/>
          <w:szCs w:val="170"/>
        </w:rPr>
        <w:t xml:space="preserve">Destinatário: </w:t>
      </w:r>
      <w:r>
        <w:rPr>
          <w:rFonts w:ascii="Calibri" w:cs="Calibri" w:eastAsia="Calibri" w:hAnsi="Calibri"/>
          <w:color w:val="6B7684"/>
          <w:sz w:val="170"/>
          <w:szCs w:val="170"/>
        </w:rPr>
        <w:t xml:space="preserve">Diretoria Executiva    </w:t>
      </w:r>
      <w:r>
        <w:rPr>
          <w:rFonts w:ascii="Calibri" w:cs="Calibri" w:eastAsia="Calibri" w:hAnsi="Calibri"/>
          <w:b/>
          <w:bCs/>
          <w:color w:val="3D4854"/>
          <w:sz w:val="170"/>
          <w:szCs w:val="170"/>
        </w:rPr>
        <w:t xml:space="preserve">Emissor: </w:t>
      </w:r>
      <w:r>
        <w:rPr>
          <w:rFonts w:ascii="Calibri" w:cs="Calibri" w:eastAsia="Calibri" w:hAnsi="Calibri"/>
          <w:color w:val="6B7684"/>
          <w:sz w:val="170"/>
          <w:szCs w:val="170"/>
        </w:rPr>
        <w:t xml:space="preserve">Head de Inteligência Artificial    </w:t>
      </w:r>
    </w:p>
    <w:p>
      <w:pPr>
        <w:pBdr>
          <w:bottom w:val="single" w:color="0B3A5D" w:sz="16" w:space="8"/>
        </w:pBdr>
        <w:spacing w:after="240" w:line="240"/>
      </w:pPr>
      <w:r>
        <w:rPr>
          <w:rFonts w:ascii="Calibri" w:cs="Calibri" w:eastAsia="Calibri" w:hAnsi="Calibri"/>
          <w:b/>
          <w:bCs/>
          <w:color w:val="3D4854"/>
          <w:sz w:val="170"/>
          <w:szCs w:val="170"/>
        </w:rPr>
        <w:t xml:space="preserve">Data: </w:t>
      </w:r>
      <w:r>
        <w:rPr>
          <w:rFonts w:ascii="Calibri" w:cs="Calibri" w:eastAsia="Calibri" w:hAnsi="Calibri"/>
          <w:color w:val="6B7684"/>
          <w:sz w:val="170"/>
          <w:szCs w:val="170"/>
        </w:rPr>
        <w:t xml:space="preserve">08/09/2026    </w:t>
      </w:r>
      <w:r>
        <w:rPr>
          <w:rFonts w:ascii="Calibri" w:cs="Calibri" w:eastAsia="Calibri" w:hAnsi="Calibri"/>
          <w:b/>
          <w:bCs/>
          <w:color w:val="3D4854"/>
          <w:sz w:val="170"/>
          <w:szCs w:val="170"/>
        </w:rPr>
        <w:t xml:space="preserve">Escopo: </w:t>
      </w:r>
      <w:r>
        <w:rPr>
          <w:rFonts w:ascii="Calibri" w:cs="Calibri" w:eastAsia="Calibri" w:hAnsi="Calibri"/>
          <w:color w:val="6B7684"/>
          <w:sz w:val="170"/>
          <w:szCs w:val="170"/>
        </w:rPr>
        <w:t xml:space="preserve">mídia paga — Google Ads e Meta (Facebook Ads)</w:t>
      </w:r>
    </w:p>
    <w:p>
      <w:pPr>
        <w:pBdr>
          <w:bottom w:val="single" w:color="DFE3E8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0B3A5D"/>
          <w:sz w:val="180"/>
          <w:szCs w:val="180"/>
        </w:rPr>
        <w:t xml:space="preserve">1. RESUMO EXECUTIVO</w:t>
      </w:r>
    </w:p>
    <w:p>
      <w:pPr>
        <w:spacing w:after="180" w:before="0" w:line="280"/>
      </w:pPr>
      <w:r>
        <w:rPr>
          <w:rFonts w:ascii="Calibri" w:cs="Calibri" w:eastAsia="Calibri" w:hAnsi="Calibri"/>
          <w:color w:val="12181F"/>
          <w:sz w:val="200"/>
          <w:szCs w:val="200"/>
        </w:rPr>
        <w:t xml:space="preserve">A arquitetura de dados de mídia paga saiu da fase de extração e passou a operar em </w:t>
      </w:r>
      <w:r>
        <w:rPr>
          <w:rFonts w:ascii="Calibri" w:cs="Calibri" w:eastAsia="Calibri" w:hAnsi="Calibri"/>
          <w:b/>
          <w:bCs/>
          <w:color w:val="12181F"/>
          <w:sz w:val="200"/>
          <w:szCs w:val="200"/>
        </w:rPr>
        <w:t xml:space="preserve">medalhão completo</w:t>
      </w:r>
      <w:r>
        <w:rPr>
          <w:rFonts w:ascii="Calibri" w:cs="Calibri" w:eastAsia="Calibri" w:hAnsi="Calibri"/>
          <w:color w:val="12181F"/>
          <w:sz w:val="200"/>
          <w:szCs w:val="200"/>
        </w:rPr>
        <w:t xml:space="preserve"> — dado bruto, dado tratado e dado de consumo — para as duas plataformas que concentram a verba da casa. Os quatro pilotos abertos em 26/08 cumpriram sua função: cada um testou um caso-limite distinto e cada caso virou regra escrita que hoje governa as 46 fontes conectadas.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09"/>
        <w:gridCol w:w="2409"/>
      </w:tblGrid>
      <w:tr>
        <w:tc>
          <w:tcPr>
            <w:tcW w:type="dxa" w:w="2410"/>
            <w:tcBorders>
              <w:top w:val="single" w:color="DFE3E8" w:sz="4"/>
              <w:left w:val="single" w:color="DFE3E8" w:sz="4"/>
              <w:bottom w:val="single" w:color="DFE3E8" w:sz="4"/>
              <w:right w:val="single" w:color="DFE3E8" w:sz="4"/>
            </w:tcBorders>
            <w:shd w:fill="F7F9FB" w:color="auto" w:val="clear"/>
            <w:tcMar>
              <w:top w:type="dxa" w:w="130"/>
              <w:left w:type="dxa" w:w="130"/>
              <w:bottom w:type="dxa" w:w="130"/>
              <w:right w:type="dxa" w:w="130"/>
            </w:tcMar>
          </w:tcPr>
          <w:p>
            <w:pPr>
              <w:spacing w:after="50" w:line="240"/>
            </w:pPr>
            <w:r>
              <w:rPr>
                <w:rFonts w:ascii="Calibri" w:cs="Calibri" w:eastAsia="Calibri" w:hAnsi="Calibri"/>
                <w:b/>
                <w:bCs/>
                <w:color w:val="0B3A5D"/>
                <w:sz w:val="300"/>
                <w:szCs w:val="300"/>
              </w:rPr>
              <w:t xml:space="preserve">R$ 3,66 mi</w:t>
            </w:r>
          </w:p>
          <w:p>
            <w:pPr>
              <w:spacing w:after="0" w:line="210"/>
            </w:pPr>
            <w:r>
              <w:rPr>
                <w:rFonts w:ascii="Calibri" w:cs="Calibri" w:eastAsia="Calibri" w:hAnsi="Calibri"/>
                <w:color w:val="6B7684"/>
                <w:sz w:val="150"/>
                <w:szCs w:val="150"/>
              </w:rPr>
              <w:t xml:space="preserve">verba de mídia sob governança, em BRL, nas duas plataformas</w:t>
            </w:r>
          </w:p>
        </w:tc>
        <w:tc>
          <w:tcPr>
            <w:tcW w:type="dxa" w:w="2410"/>
            <w:tcBorders>
              <w:top w:val="single" w:color="DFE3E8" w:sz="4"/>
              <w:left w:val="single" w:color="DFE3E8" w:sz="4"/>
              <w:bottom w:val="single" w:color="DFE3E8" w:sz="4"/>
              <w:right w:val="single" w:color="DFE3E8" w:sz="4"/>
            </w:tcBorders>
            <w:shd w:fill="F7F9FB" w:color="auto" w:val="clear"/>
            <w:tcMar>
              <w:top w:type="dxa" w:w="130"/>
              <w:left w:type="dxa" w:w="130"/>
              <w:bottom w:type="dxa" w:w="130"/>
              <w:right w:type="dxa" w:w="130"/>
            </w:tcMar>
          </w:tcPr>
          <w:p>
            <w:pPr>
              <w:spacing w:after="50" w:line="240"/>
            </w:pPr>
            <w:r>
              <w:rPr>
                <w:rFonts w:ascii="Calibri" w:cs="Calibri" w:eastAsia="Calibri" w:hAnsi="Calibri"/>
                <w:b/>
                <w:bCs/>
                <w:color w:val="0B3A5D"/>
                <w:sz w:val="300"/>
                <w:szCs w:val="300"/>
              </w:rPr>
              <w:t xml:space="preserve">11</w:t>
            </w:r>
          </w:p>
          <w:p>
            <w:pPr>
              <w:spacing w:after="0" w:line="210"/>
            </w:pPr>
            <w:r>
              <w:rPr>
                <w:rFonts w:ascii="Calibri" w:cs="Calibri" w:eastAsia="Calibri" w:hAnsi="Calibri"/>
                <w:color w:val="6B7684"/>
                <w:sz w:val="150"/>
                <w:szCs w:val="150"/>
              </w:rPr>
              <w:t xml:space="preserve">tabelas na camada Trusted, sendo 5 publicadas hoje</w:t>
            </w:r>
          </w:p>
        </w:tc>
        <w:tc>
          <w:tcPr>
            <w:tcW w:type="dxa" w:w="2409"/>
            <w:tcBorders>
              <w:top w:val="single" w:color="DFE3E8" w:sz="4"/>
              <w:left w:val="single" w:color="DFE3E8" w:sz="4"/>
              <w:bottom w:val="single" w:color="DFE3E8" w:sz="4"/>
              <w:right w:val="single" w:color="DFE3E8" w:sz="4"/>
            </w:tcBorders>
            <w:shd w:fill="F7F9FB" w:color="auto" w:val="clear"/>
            <w:tcMar>
              <w:top w:type="dxa" w:w="130"/>
              <w:left w:type="dxa" w:w="130"/>
              <w:bottom w:type="dxa" w:w="130"/>
              <w:right w:type="dxa" w:w="130"/>
            </w:tcMar>
          </w:tcPr>
          <w:p>
            <w:pPr>
              <w:spacing w:after="50" w:line="240"/>
            </w:pPr>
            <w:r>
              <w:rPr>
                <w:rFonts w:ascii="Calibri" w:cs="Calibri" w:eastAsia="Calibri" w:hAnsi="Calibri"/>
                <w:b/>
                <w:bCs/>
                <w:color w:val="0B3A5D"/>
                <w:sz w:val="300"/>
                <w:szCs w:val="300"/>
              </w:rPr>
              <w:t xml:space="preserve">3 de 4</w:t>
            </w:r>
          </w:p>
          <w:p>
            <w:pPr>
              <w:spacing w:after="0" w:line="210"/>
            </w:pPr>
            <w:r>
              <w:rPr>
                <w:rFonts w:ascii="Calibri" w:cs="Calibri" w:eastAsia="Calibri" w:hAnsi="Calibri"/>
                <w:color w:val="6B7684"/>
                <w:sz w:val="150"/>
                <w:szCs w:val="150"/>
              </w:rPr>
              <w:t xml:space="preserve">pilotos atravessando o medalhão inteiro</w:t>
            </w:r>
          </w:p>
        </w:tc>
        <w:tc>
          <w:tcPr>
            <w:tcW w:type="dxa" w:w="2409"/>
            <w:tcBorders>
              <w:top w:val="single" w:color="DFE3E8" w:sz="4"/>
              <w:left w:val="single" w:color="DFE3E8" w:sz="4"/>
              <w:bottom w:val="single" w:color="DFE3E8" w:sz="4"/>
              <w:right w:val="single" w:color="DFE3E8" w:sz="4"/>
            </w:tcBorders>
            <w:shd w:fill="F7F9FB" w:color="auto" w:val="clear"/>
            <w:tcMar>
              <w:top w:type="dxa" w:w="130"/>
              <w:left w:type="dxa" w:w="130"/>
              <w:bottom w:type="dxa" w:w="130"/>
              <w:right w:type="dxa" w:w="130"/>
            </w:tcMar>
          </w:tcPr>
          <w:p>
            <w:pPr>
              <w:spacing w:after="50" w:line="240"/>
            </w:pPr>
            <w:r>
              <w:rPr>
                <w:rFonts w:ascii="Calibri" w:cs="Calibri" w:eastAsia="Calibri" w:hAnsi="Calibri"/>
                <w:b/>
                <w:bCs/>
                <w:color w:val="0B3A5D"/>
                <w:sz w:val="300"/>
                <w:szCs w:val="300"/>
              </w:rPr>
              <w:t xml:space="preserve">zero</w:t>
            </w:r>
          </w:p>
          <w:p>
            <w:pPr>
              <w:spacing w:after="0" w:line="210"/>
            </w:pPr>
            <w:r>
              <w:rPr>
                <w:rFonts w:ascii="Calibri" w:cs="Calibri" w:eastAsia="Calibri" w:hAnsi="Calibri"/>
                <w:color w:val="6B7684"/>
                <w:sz w:val="150"/>
                <w:szCs w:val="150"/>
              </w:rPr>
              <w:t xml:space="preserve">registros marcados como não confiáveis nos pilotos</w:t>
            </w:r>
          </w:p>
        </w:tc>
      </w:tr>
    </w:tbl>
    <w:p>
      <w:pPr>
        <w:spacing w:after="60" w:before="80" w:line="220"/>
      </w:pPr>
      <w:r>
        <w:rPr>
          <w:rFonts w:ascii="Calibri" w:cs="Calibri" w:eastAsia="Calibri" w:hAnsi="Calibri"/>
          <w:color w:val="6B7684"/>
          <w:sz w:val="150"/>
          <w:szCs w:val="150"/>
        </w:rPr>
        <w:t xml:space="preserve">Verba apurada em 08/09/2026: R$ 1.342.354,13 em Google Ads (35 contas em reais) e R$ 2.318.791,22 em Meta (7 contas). A conta Move Rental Cars fatura em dólar — US$ 19.600,06 — e por decisão de arquitetura </w:t>
      </w:r>
      <w:r>
        <w:rPr>
          <w:rFonts w:ascii="Calibri" w:cs="Calibri" w:eastAsia="Calibri" w:hAnsi="Calibri"/>
          <w:b/>
          <w:bCs/>
          <w:color w:val="6B7684"/>
          <w:sz w:val="150"/>
          <w:szCs w:val="150"/>
        </w:rPr>
        <w:t xml:space="preserve">não é somada</w:t>
      </w:r>
      <w:r>
        <w:rPr>
          <w:rFonts w:ascii="Calibri" w:cs="Calibri" w:eastAsia="Calibri" w:hAnsi="Calibri"/>
          <w:color w:val="6B7684"/>
          <w:sz w:val="150"/>
          <w:szCs w:val="150"/>
        </w:rPr>
        <w:t xml:space="preserve"> às demais.</w:t>
      </w:r>
    </w:p>
    <w:p>
      <w:pPr>
        <w:pBdr>
          <w:bottom w:val="single" w:color="DFE3E8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0B3A5D"/>
          <w:sz w:val="180"/>
          <w:szCs w:val="180"/>
        </w:rPr>
        <w:t xml:space="preserve">2. OS QUATRO PILOTOS E O QUE CADA UM PRODUZIU</w:t>
      </w:r>
    </w:p>
    <w:p>
      <w:pPr>
        <w:spacing w:after="140" w:before="0" w:line="260"/>
      </w:pPr>
      <w:r>
        <w:rPr>
          <w:rFonts w:ascii="Calibri" w:cs="Calibri" w:eastAsia="Calibri" w:hAnsi="Calibri"/>
          <w:color w:val="12181F"/>
          <w:sz w:val="200"/>
          <w:szCs w:val="200"/>
        </w:rPr>
        <w:t xml:space="preserve">Os pilotos não foram amostras aleatórias. Cada um foi escolhido para expor um problema específico antes de o problema aparecer em escala nas 39 contas de Google Ads.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280"/>
        <w:gridCol w:w="2900"/>
        <w:gridCol w:w="1300"/>
        <w:gridCol w:w="1598"/>
      </w:tblGrid>
      <w:tr>
        <w:trPr>
          <w:tblHeader/>
        </w:trPr>
        <w:tc>
          <w:tcPr>
            <w:tcW w:type="dxa" w:w="1560"/>
            <w:tcBorders>
              <w:top w:val="none"/>
              <w:left w:val="none"/>
              <w:bottom w:val="single" w:color="0B3A5D" w:sz="8"/>
              <w:right w:val="none"/>
            </w:tcBorders>
            <w:shd w:fill="EA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bottom"/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0B3A5D"/>
                <w:sz w:val="150"/>
                <w:szCs w:val="150"/>
              </w:rPr>
              <w:t xml:space="preserve">PILOTO</w:t>
            </w:r>
          </w:p>
        </w:tc>
        <w:tc>
          <w:tcPr>
            <w:tcW w:type="dxa" w:w="2280"/>
            <w:tcBorders>
              <w:top w:val="none"/>
              <w:left w:val="none"/>
              <w:bottom w:val="single" w:color="0B3A5D" w:sz="8"/>
              <w:right w:val="none"/>
            </w:tcBorders>
            <w:shd w:fill="EA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bottom"/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0B3A5D"/>
                <w:sz w:val="150"/>
                <w:szCs w:val="150"/>
              </w:rPr>
              <w:t xml:space="preserve">CASO-LIMITE TESTADO</w:t>
            </w:r>
          </w:p>
        </w:tc>
        <w:tc>
          <w:tcPr>
            <w:tcW w:type="dxa" w:w="2900"/>
            <w:tcBorders>
              <w:top w:val="none"/>
              <w:left w:val="none"/>
              <w:bottom w:val="single" w:color="0B3A5D" w:sz="8"/>
              <w:right w:val="none"/>
            </w:tcBorders>
            <w:shd w:fill="EA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bottom"/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0B3A5D"/>
                <w:sz w:val="150"/>
                <w:szCs w:val="150"/>
              </w:rPr>
              <w:t xml:space="preserve">REGRA OU ATIVO QUE GEROU</w:t>
            </w:r>
          </w:p>
        </w:tc>
        <w:tc>
          <w:tcPr>
            <w:tcW w:type="dxa" w:w="1300"/>
            <w:tcBorders>
              <w:top w:val="none"/>
              <w:left w:val="none"/>
              <w:bottom w:val="single" w:color="0B3A5D" w:sz="8"/>
              <w:right w:val="none"/>
            </w:tcBorders>
            <w:shd w:fill="EA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bottom"/>
          </w:tcPr>
          <w:p>
            <w:pPr>
              <w:spacing w:after="0" w:line="22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3A5D"/>
                <w:sz w:val="150"/>
                <w:szCs w:val="150"/>
              </w:rPr>
              <w:t xml:space="preserve">VERBA APURADA</w:t>
            </w:r>
          </w:p>
        </w:tc>
        <w:tc>
          <w:tcPr>
            <w:tcW w:type="dxa" w:w="1598"/>
            <w:tcBorders>
              <w:top w:val="none"/>
              <w:left w:val="none"/>
              <w:bottom w:val="single" w:color="0B3A5D" w:sz="8"/>
              <w:right w:val="none"/>
            </w:tcBorders>
            <w:shd w:fill="EA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bottom"/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0B3A5D"/>
                <w:sz w:val="150"/>
                <w:szCs w:val="150"/>
              </w:rPr>
              <w:t xml:space="preserve">MEDALHÃO</w:t>
            </w:r>
          </w:p>
        </w:tc>
      </w:tr>
      <w:tr>
        <w:tc>
          <w:tcPr>
            <w:tcW w:type="dxa" w:w="1560"/>
            <w:tcBorders>
              <w:top w:val="none"/>
              <w:left w:val="none"/>
              <w:bottom w:val="single" w:color="DFE3E8" w:sz="4"/>
              <w:right w:val="none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2181F"/>
                <w:sz w:val="170"/>
                <w:szCs w:val="170"/>
              </w:rPr>
              <w:t xml:space="preserve">Acesso Saúde</w:t>
            </w:r>
          </w:p>
        </w:tc>
        <w:tc>
          <w:tcPr>
            <w:tcW w:type="dxa" w:w="2280"/>
            <w:tcBorders>
              <w:top w:val="none"/>
              <w:left w:val="none"/>
              <w:bottom w:val="single" w:color="DFE3E8" w:sz="4"/>
              <w:right w:val="none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2181F"/>
                <w:sz w:val="170"/>
                <w:szCs w:val="170"/>
              </w:rPr>
              <w:t xml:space="preserve">Conta simples, nome do cadastro igual ao da plataforma — a linha de base.</w:t>
            </w:r>
          </w:p>
        </w:tc>
        <w:tc>
          <w:tcPr>
            <w:tcW w:type="dxa" w:w="2900"/>
            <w:tcBorders>
              <w:top w:val="none"/>
              <w:left w:val="none"/>
              <w:bottom w:val="single" w:color="DFE3E8" w:sz="4"/>
              <w:right w:val="none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2181F"/>
                <w:sz w:val="170"/>
                <w:szCs w:val="170"/>
              </w:rPr>
              <w:t xml:space="preserve">Tornou-se o </w:t>
            </w:r>
            <w:r>
              <w:rPr>
                <w:rFonts w:ascii="Calibri" w:cs="Calibri" w:eastAsia="Calibri" w:hAnsi="Calibri"/>
                <w:b/>
                <w:bCs/>
                <w:color w:val="12181F"/>
                <w:sz w:val="170"/>
                <w:szCs w:val="170"/>
              </w:rPr>
              <w:t xml:space="preserve">marcador de fim de ciclo</w:t>
            </w:r>
            <w:r>
              <w:rPr>
                <w:rFonts w:ascii="Calibri" w:cs="Calibri" w:eastAsia="Calibri" w:hAnsi="Calibri"/>
                <w:color w:val="12181F"/>
                <w:sz w:val="170"/>
                <w:szCs w:val="170"/>
              </w:rPr>
              <w:t xml:space="preserve"> de todo o parque: tem o horário de carga mais tardio das 39 contas, e hoje sete transformações são disparadas por ela.</w:t>
            </w:r>
          </w:p>
        </w:tc>
        <w:tc>
          <w:tcPr>
            <w:tcW w:type="dxa" w:w="1300"/>
            <w:tcBorders>
              <w:top w:val="none"/>
              <w:left w:val="none"/>
              <w:bottom w:val="single" w:color="DFE3E8" w:sz="4"/>
              <w:right w:val="none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color w:val="12181F"/>
                <w:sz w:val="170"/>
                <w:szCs w:val="170"/>
              </w:rPr>
              <w:t xml:space="preserve">R$ 59.113,18</w:t>
            </w:r>
          </w:p>
        </w:tc>
        <w:tc>
          <w:tcPr>
            <w:tcW w:type="dxa" w:w="1598"/>
            <w:tcBorders>
              <w:top w:val="none"/>
              <w:left w:val="none"/>
              <w:bottom w:val="single" w:color="DFE3E8" w:sz="4"/>
              <w:right w:val="none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C6B45"/>
                <w:sz w:val="170"/>
                <w:szCs w:val="170"/>
              </w:rPr>
              <w:t xml:space="preserve">Completo</w:t>
            </w:r>
          </w:p>
        </w:tc>
      </w:tr>
      <w:tr>
        <w:tc>
          <w:tcPr>
            <w:tcW w:type="dxa" w:w="1560"/>
            <w:tcBorders>
              <w:top w:val="none"/>
              <w:left w:val="none"/>
              <w:bottom w:val="single" w:color="DFE3E8" w:sz="4"/>
              <w:right w:val="none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2181F"/>
                <w:sz w:val="170"/>
                <w:szCs w:val="170"/>
              </w:rPr>
              <w:t xml:space="preserve">Olá Casa Nova</w:t>
            </w:r>
          </w:p>
        </w:tc>
        <w:tc>
          <w:tcPr>
            <w:tcW w:type="dxa" w:w="2280"/>
            <w:tcBorders>
              <w:top w:val="none"/>
              <w:left w:val="none"/>
              <w:bottom w:val="single" w:color="DFE3E8" w:sz="4"/>
              <w:right w:val="none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2181F"/>
                <w:sz w:val="170"/>
                <w:szCs w:val="170"/>
              </w:rPr>
              <w:t xml:space="preserve">Divergência de nome: conhecida como Olá Casa Nova, cadastrada como “Ola Empreendimentos”.</w:t>
            </w:r>
          </w:p>
        </w:tc>
        <w:tc>
          <w:tcPr>
            <w:tcW w:type="dxa" w:w="2900"/>
            <w:tcBorders>
              <w:top w:val="none"/>
              <w:left w:val="none"/>
              <w:bottom w:val="single" w:color="DFE3E8" w:sz="4"/>
              <w:right w:val="none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2181F"/>
                <w:sz w:val="170"/>
                <w:szCs w:val="170"/>
              </w:rPr>
              <w:t xml:space="preserve">Regra de que </w:t>
            </w:r>
            <w:r>
              <w:rPr>
                <w:rFonts w:ascii="Calibri" w:cs="Calibri" w:eastAsia="Calibri" w:hAnsi="Calibri"/>
                <w:b/>
                <w:bCs/>
                <w:color w:val="12181F"/>
                <w:sz w:val="170"/>
                <w:szCs w:val="170"/>
              </w:rPr>
              <w:t xml:space="preserve">identidade de conta se resolve por identificador, nunca por rótulo digitado</w:t>
            </w:r>
            <w:r>
              <w:rPr>
                <w:rFonts w:ascii="Calibri" w:cs="Calibri" w:eastAsia="Calibri" w:hAnsi="Calibri"/>
                <w:color w:val="12181F"/>
                <w:sz w:val="170"/>
                <w:szCs w:val="170"/>
              </w:rPr>
              <w:t xml:space="preserve">. Evita relatório atribuído ao cliente errado.</w:t>
            </w:r>
          </w:p>
        </w:tc>
        <w:tc>
          <w:tcPr>
            <w:tcW w:type="dxa" w:w="1300"/>
            <w:tcBorders>
              <w:top w:val="none"/>
              <w:left w:val="none"/>
              <w:bottom w:val="single" w:color="DFE3E8" w:sz="4"/>
              <w:right w:val="none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color w:val="12181F"/>
                <w:sz w:val="170"/>
                <w:szCs w:val="170"/>
              </w:rPr>
              <w:t xml:space="preserve">R$ 32.689,70</w:t>
            </w:r>
          </w:p>
        </w:tc>
        <w:tc>
          <w:tcPr>
            <w:tcW w:type="dxa" w:w="1598"/>
            <w:tcBorders>
              <w:top w:val="none"/>
              <w:left w:val="none"/>
              <w:bottom w:val="single" w:color="DFE3E8" w:sz="4"/>
              <w:right w:val="none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C6B45"/>
                <w:sz w:val="170"/>
                <w:szCs w:val="170"/>
              </w:rPr>
              <w:t xml:space="preserve">Completo</w:t>
            </w:r>
          </w:p>
        </w:tc>
      </w:tr>
      <w:tr>
        <w:tc>
          <w:tcPr>
            <w:tcW w:type="dxa" w:w="1560"/>
            <w:tcBorders>
              <w:top w:val="none"/>
              <w:left w:val="none"/>
              <w:bottom w:val="single" w:color="DFE3E8" w:sz="4"/>
              <w:right w:val="none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2181F"/>
                <w:sz w:val="170"/>
                <w:szCs w:val="170"/>
              </w:rPr>
              <w:t xml:space="preserve">Move Rental Cars</w:t>
            </w:r>
          </w:p>
        </w:tc>
        <w:tc>
          <w:tcPr>
            <w:tcW w:type="dxa" w:w="2280"/>
            <w:tcBorders>
              <w:top w:val="none"/>
              <w:left w:val="none"/>
              <w:bottom w:val="single" w:color="DFE3E8" w:sz="4"/>
              <w:right w:val="none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2181F"/>
                <w:sz w:val="170"/>
                <w:szCs w:val="170"/>
              </w:rPr>
              <w:t xml:space="preserve">Única das 42 contas que fatura em dólar.</w:t>
            </w:r>
          </w:p>
        </w:tc>
        <w:tc>
          <w:tcPr>
            <w:tcW w:type="dxa" w:w="2900"/>
            <w:tcBorders>
              <w:top w:val="none"/>
              <w:left w:val="none"/>
              <w:bottom w:val="single" w:color="DFE3E8" w:sz="4"/>
              <w:right w:val="none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2181F"/>
                <w:sz w:val="170"/>
                <w:szCs w:val="170"/>
              </w:rPr>
              <w:t xml:space="preserve">Regra de que </w:t>
            </w:r>
            <w:r>
              <w:rPr>
                <w:rFonts w:ascii="Calibri" w:cs="Calibri" w:eastAsia="Calibri" w:hAnsi="Calibri"/>
                <w:b/>
                <w:bCs/>
                <w:color w:val="12181F"/>
                <w:sz w:val="170"/>
                <w:szCs w:val="170"/>
              </w:rPr>
              <w:t xml:space="preserve">verba não se soma entre moedas</w:t>
            </w:r>
            <w:r>
              <w:rPr>
                <w:rFonts w:ascii="Calibri" w:cs="Calibri" w:eastAsia="Calibri" w:hAnsi="Calibri"/>
                <w:color w:val="12181F"/>
                <w:sz w:val="170"/>
                <w:szCs w:val="170"/>
              </w:rPr>
              <w:t xml:space="preserve">, declarada na camada de consumo. Foi também onde o problema de cobertura do Performance Max apareceu primeiro.</w:t>
            </w:r>
          </w:p>
        </w:tc>
        <w:tc>
          <w:tcPr>
            <w:tcW w:type="dxa" w:w="1300"/>
            <w:tcBorders>
              <w:top w:val="none"/>
              <w:left w:val="none"/>
              <w:bottom w:val="single" w:color="DFE3E8" w:sz="4"/>
              <w:right w:val="none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color w:val="12181F"/>
                <w:sz w:val="170"/>
                <w:szCs w:val="170"/>
              </w:rPr>
              <w:t xml:space="preserve">US$ 19.600,06</w:t>
            </w:r>
          </w:p>
        </w:tc>
        <w:tc>
          <w:tcPr>
            <w:tcW w:type="dxa" w:w="1598"/>
            <w:tcBorders>
              <w:top w:val="none"/>
              <w:left w:val="none"/>
              <w:bottom w:val="single" w:color="DFE3E8" w:sz="4"/>
              <w:right w:val="none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C6B45"/>
                <w:sz w:val="170"/>
                <w:szCs w:val="170"/>
              </w:rPr>
              <w:t xml:space="preserve">Completo</w:t>
            </w:r>
          </w:p>
        </w:tc>
      </w:tr>
      <w:tr>
        <w:tc>
          <w:tcPr>
            <w:tcW w:type="dxa" w:w="1560"/>
            <w:tcBorders>
              <w:top w:val="none"/>
              <w:left w:val="none"/>
              <w:bottom w:val="single" w:color="DFE3E8" w:sz="4"/>
              <w:right w:val="none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2181F"/>
                <w:sz w:val="170"/>
                <w:szCs w:val="170"/>
              </w:rPr>
              <w:t xml:space="preserve">Don Watches conta 1</w:t>
            </w:r>
          </w:p>
        </w:tc>
        <w:tc>
          <w:tcPr>
            <w:tcW w:type="dxa" w:w="2280"/>
            <w:tcBorders>
              <w:top w:val="none"/>
              <w:left w:val="none"/>
              <w:bottom w:val="single" w:color="DFE3E8" w:sz="4"/>
              <w:right w:val="none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2181F"/>
                <w:sz w:val="170"/>
                <w:szCs w:val="170"/>
              </w:rPr>
              <w:t xml:space="preserve">Cliente com múltiplas contas ativas na mesma plataforma.</w:t>
            </w:r>
          </w:p>
        </w:tc>
        <w:tc>
          <w:tcPr>
            <w:tcW w:type="dxa" w:w="2900"/>
            <w:tcBorders>
              <w:top w:val="none"/>
              <w:left w:val="none"/>
              <w:bottom w:val="single" w:color="DFE3E8" w:sz="4"/>
              <w:right w:val="none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2181F"/>
                <w:sz w:val="170"/>
                <w:szCs w:val="170"/>
              </w:rPr>
              <w:t xml:space="preserve">Regra de que </w:t>
            </w:r>
            <w:r>
              <w:rPr>
                <w:rFonts w:ascii="Calibri" w:cs="Calibri" w:eastAsia="Calibri" w:hAnsi="Calibri"/>
                <w:b/>
                <w:bCs/>
                <w:color w:val="12181F"/>
                <w:sz w:val="170"/>
                <w:szCs w:val="170"/>
              </w:rPr>
              <w:t xml:space="preserve">contas com o mesmo prefixo de nome nunca são unificadas</w:t>
            </w:r>
            <w:r>
              <w:rPr>
                <w:rFonts w:ascii="Calibri" w:cs="Calibri" w:eastAsia="Calibri" w:hAnsi="Calibri"/>
                <w:color w:val="12181F"/>
                <w:sz w:val="170"/>
                <w:szCs w:val="170"/>
              </w:rPr>
              <w:t xml:space="preserve"> — cada uma tem verba, calendário e responsável próprios. Expôs também a pior inconsistência de nomenclatura da base.</w:t>
            </w:r>
          </w:p>
        </w:tc>
        <w:tc>
          <w:tcPr>
            <w:tcW w:type="dxa" w:w="1300"/>
            <w:tcBorders>
              <w:top w:val="none"/>
              <w:left w:val="none"/>
              <w:bottom w:val="single" w:color="DFE3E8" w:sz="4"/>
              <w:right w:val="none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color w:val="12181F"/>
                <w:sz w:val="170"/>
                <w:szCs w:val="170"/>
              </w:rPr>
              <w:t xml:space="preserve">—</w:t>
            </w:r>
          </w:p>
        </w:tc>
        <w:tc>
          <w:tcPr>
            <w:tcW w:type="dxa" w:w="1598"/>
            <w:tcBorders>
              <w:top w:val="none"/>
              <w:left w:val="none"/>
              <w:bottom w:val="single" w:color="DFE3E8" w:sz="4"/>
              <w:right w:val="none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6B7684"/>
                <w:sz w:val="170"/>
                <w:szCs w:val="170"/>
              </w:rPr>
              <w:t xml:space="preserve">Sem dado</w:t>
            </w:r>
          </w:p>
        </w:tc>
      </w:tr>
    </w:tbl>
    <w:p>
      <w:pPr>
        <w:spacing w:after="60" w:before="80" w:line="220"/>
      </w:pPr>
      <w:r>
        <w:rPr>
          <w:rFonts w:ascii="Calibri" w:cs="Calibri" w:eastAsia="Calibri" w:hAnsi="Calibri"/>
          <w:color w:val="6B7684"/>
          <w:sz w:val="150"/>
          <w:szCs w:val="150"/>
        </w:rPr>
        <w:t xml:space="preserve">Situação apurada em 08/09/2026 contra as tabelas em produção. “Medalhão” indica presença nas três camadas: Raw, Trusted e Refined.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0B3A5D" w:sz="18"/>
              <w:bottom w:val="none"/>
              <w:right w:val="none"/>
            </w:tcBorders>
            <w:shd w:fill="EAF1F7" w:color="auto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70" w:line="220"/>
            </w:pPr>
            <w:r>
              <w:rPr>
                <w:rFonts w:ascii="Calibri" w:cs="Calibri" w:eastAsia="Calibri" w:hAnsi="Calibri"/>
                <w:b/>
                <w:bCs/>
                <w:color w:val="0B3A5D"/>
                <w:sz w:val="150"/>
                <w:szCs w:val="150"/>
              </w:rPr>
              <w:t xml:space="preserve">LEITURA CORRETA DO QUARTO PILOTO</w:t>
            </w:r>
          </w:p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2181F"/>
                <w:sz w:val="200"/>
                <w:szCs w:val="200"/>
              </w:rPr>
              <w:t xml:space="preserve">A conta Don Watches 1 aparece com zero registros porque </w:t>
            </w:r>
            <w:r>
              <w:rPr>
                <w:rFonts w:ascii="Calibri" w:cs="Calibri" w:eastAsia="Calibri" w:hAnsi="Calibri"/>
                <w:b/>
                <w:bCs/>
                <w:color w:val="12181F"/>
                <w:sz w:val="200"/>
                <w:szCs w:val="200"/>
              </w:rPr>
              <w:t xml:space="preserve">não tem atividade desde 2023</w:t>
            </w:r>
            <w:r>
              <w:rPr>
                <w:rFonts w:ascii="Calibri" w:cs="Calibri" w:eastAsia="Calibri" w:hAnsi="Calibri"/>
                <w:color w:val="12181F"/>
                <w:sz w:val="200"/>
                <w:szCs w:val="200"/>
              </w:rPr>
              <w:t xml:space="preserve"> — investimento zero e nenhuma impressão, confirmado contra a API do Google Ads. O vazio é o resultado correto, não falha de integração. Em 31/08 a extração dessa conta foi reduzida de diária para semanal: consumia crédito de plataforma todos os dias para trazer nenhuma linha.</w:t>
            </w:r>
          </w:p>
        </w:tc>
      </w:tr>
    </w:tbl>
    <w:p>
      <w:pPr>
        <w:pBdr>
          <w:bottom w:val="single" w:color="DFE3E8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0B3A5D"/>
          <w:sz w:val="180"/>
          <w:szCs w:val="180"/>
        </w:rPr>
        <w:t xml:space="preserve">3. O QUE FOI CONSTRUÍDO NAS CAMADAS</w:t>
      </w:r>
    </w:p>
    <w:p>
      <w:pPr>
        <w:spacing w:after="140" w:before="0" w:line="260"/>
      </w:pPr>
      <w:r>
        <w:rPr>
          <w:rFonts w:ascii="Calibri" w:cs="Calibri" w:eastAsia="Calibri" w:hAnsi="Calibri"/>
          <w:color w:val="12181F"/>
          <w:sz w:val="200"/>
          <w:szCs w:val="200"/>
        </w:rPr>
        <w:t xml:space="preserve">O modelo em três estágios foi aplicado como </w:t>
      </w:r>
      <w:r>
        <w:rPr>
          <w:rFonts w:ascii="Calibri" w:cs="Calibri" w:eastAsia="Calibri" w:hAnsi="Calibri"/>
          <w:b/>
          <w:bCs/>
          <w:color w:val="12181F"/>
          <w:sz w:val="200"/>
          <w:szCs w:val="200"/>
        </w:rPr>
        <w:t xml:space="preserve">estágio de tratamento e não como pasta</w:t>
      </w:r>
      <w:r>
        <w:rPr>
          <w:rFonts w:ascii="Calibri" w:cs="Calibri" w:eastAsia="Calibri" w:hAnsi="Calibri"/>
          <w:color w:val="12181F"/>
          <w:sz w:val="200"/>
          <w:szCs w:val="200"/>
        </w:rPr>
        <w:t xml:space="preserve">: toda fonte atravessa os três, e o estágio se identifica pelo prefixo da tabela. Isso vale para dado de sistema interno e para dado de cliente, sem exceção.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300"/>
        <w:gridCol w:w="4038"/>
      </w:tblGrid>
      <w:tr>
        <w:trPr>
          <w:tblHeader/>
        </w:trPr>
        <w:tc>
          <w:tcPr>
            <w:tcW w:type="dxa" w:w="1300"/>
            <w:tcBorders>
              <w:top w:val="none"/>
              <w:left w:val="none"/>
              <w:bottom w:val="single" w:color="0B3A5D" w:sz="8"/>
              <w:right w:val="none"/>
            </w:tcBorders>
            <w:shd w:fill="EA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bottom"/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0B3A5D"/>
                <w:sz w:val="150"/>
                <w:szCs w:val="150"/>
              </w:rPr>
              <w:t xml:space="preserve">CAMADA</w:t>
            </w:r>
          </w:p>
        </w:tc>
        <w:tc>
          <w:tcPr>
            <w:tcW w:type="dxa" w:w="4300"/>
            <w:tcBorders>
              <w:top w:val="none"/>
              <w:left w:val="none"/>
              <w:bottom w:val="single" w:color="0B3A5D" w:sz="8"/>
              <w:right w:val="none"/>
            </w:tcBorders>
            <w:shd w:fill="EA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bottom"/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0B3A5D"/>
                <w:sz w:val="150"/>
                <w:szCs w:val="150"/>
              </w:rPr>
              <w:t xml:space="preserve">O QUE EXISTE</w:t>
            </w:r>
          </w:p>
        </w:tc>
        <w:tc>
          <w:tcPr>
            <w:tcW w:type="dxa" w:w="4038"/>
            <w:tcBorders>
              <w:top w:val="none"/>
              <w:left w:val="none"/>
              <w:bottom w:val="single" w:color="0B3A5D" w:sz="8"/>
              <w:right w:val="none"/>
            </w:tcBorders>
            <w:shd w:fill="EA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bottom"/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0B3A5D"/>
                <w:sz w:val="150"/>
                <w:szCs w:val="150"/>
              </w:rPr>
              <w:t xml:space="preserve">PARA QUE SERVE NA DECISÃO</w:t>
            </w:r>
          </w:p>
        </w:tc>
      </w:tr>
      <w:tr>
        <w:tc>
          <w:tcPr>
            <w:tcW w:type="dxa" w:w="1300"/>
            <w:tcBorders>
              <w:top w:val="none"/>
              <w:left w:val="none"/>
              <w:bottom w:val="single" w:color="DFE3E8" w:sz="4"/>
              <w:right w:val="none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2181F"/>
                <w:sz w:val="170"/>
                <w:szCs w:val="170"/>
              </w:rPr>
              <w:t xml:space="preserve">Raw</w:t>
            </w:r>
          </w:p>
        </w:tc>
        <w:tc>
          <w:tcPr>
            <w:tcW w:type="dxa" w:w="4300"/>
            <w:tcBorders>
              <w:top w:val="none"/>
              <w:left w:val="none"/>
              <w:bottom w:val="single" w:color="DFE3E8" w:sz="4"/>
              <w:right w:val="none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2181F"/>
                <w:sz w:val="170"/>
                <w:szCs w:val="170"/>
              </w:rPr>
              <w:t xml:space="preserve">Cópia fiel das 46 fontes de mídia — 39 contas de Google Ads e 7 de Meta. Nada é corrigido aqui, por definição.</w:t>
            </w:r>
          </w:p>
        </w:tc>
        <w:tc>
          <w:tcPr>
            <w:tcW w:type="dxa" w:w="4038"/>
            <w:tcBorders>
              <w:top w:val="none"/>
              <w:left w:val="none"/>
              <w:bottom w:val="single" w:color="DFE3E8" w:sz="4"/>
              <w:right w:val="none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2181F"/>
                <w:sz w:val="170"/>
                <w:szCs w:val="170"/>
              </w:rPr>
              <w:t xml:space="preserve">Rastreabilidade e auditoria. Permite reconstruir qualquer número até a origem.</w:t>
            </w:r>
          </w:p>
        </w:tc>
      </w:tr>
      <w:tr>
        <w:tc>
          <w:tcPr>
            <w:tcW w:type="dxa" w:w="1300"/>
            <w:tcBorders>
              <w:top w:val="none"/>
              <w:left w:val="none"/>
              <w:bottom w:val="single" w:color="DFE3E8" w:sz="4"/>
              <w:right w:val="none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2181F"/>
                <w:sz w:val="170"/>
                <w:szCs w:val="170"/>
              </w:rPr>
              <w:t xml:space="preserve">Trusted</w:t>
            </w:r>
          </w:p>
        </w:tc>
        <w:tc>
          <w:tcPr>
            <w:tcW w:type="dxa" w:w="4300"/>
            <w:tcBorders>
              <w:top w:val="none"/>
              <w:left w:val="none"/>
              <w:bottom w:val="single" w:color="DFE3E8" w:sz="4"/>
              <w:right w:val="none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60" w:line="240"/>
            </w:pPr>
            <w:r>
              <w:rPr>
                <w:rFonts w:ascii="Calibri" w:cs="Calibri" w:eastAsia="Calibri" w:hAnsi="Calibri"/>
                <w:b/>
                <w:bCs/>
                <w:color w:val="12181F"/>
                <w:sz w:val="170"/>
                <w:szCs w:val="170"/>
              </w:rPr>
              <w:t xml:space="preserve">Google Ads (8 tabelas): </w:t>
            </w:r>
            <w:r>
              <w:rPr>
                <w:rFonts w:ascii="Calibri" w:cs="Calibri" w:eastAsia="Calibri" w:hAnsi="Calibri"/>
                <w:color w:val="12181F"/>
                <w:sz w:val="170"/>
                <w:szCs w:val="170"/>
              </w:rPr>
              <w:t xml:space="preserve">desempenho diário, dimensão de campanha, dimensão de conta e cinco recortes — faixa etária, gênero, geográfico, localização do usuário e termo de busca.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2181F"/>
                <w:sz w:val="170"/>
                <w:szCs w:val="170"/>
              </w:rPr>
              <w:t xml:space="preserve">Meta (3 tabelas): </w:t>
            </w:r>
            <w:r>
              <w:rPr>
                <w:rFonts w:ascii="Calibri" w:cs="Calibri" w:eastAsia="Calibri" w:hAnsi="Calibri"/>
                <w:color w:val="12181F"/>
                <w:sz w:val="170"/>
                <w:szCs w:val="170"/>
              </w:rPr>
              <w:t xml:space="preserve">desempenho diário, dimensão de campanha e dimensão de conta.</w:t>
            </w:r>
          </w:p>
        </w:tc>
        <w:tc>
          <w:tcPr>
            <w:tcW w:type="dxa" w:w="4038"/>
            <w:tcBorders>
              <w:top w:val="none"/>
              <w:left w:val="none"/>
              <w:bottom w:val="single" w:color="DFE3E8" w:sz="4"/>
              <w:right w:val="none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2181F"/>
                <w:sz w:val="170"/>
                <w:szCs w:val="170"/>
              </w:rPr>
              <w:t xml:space="preserve">Número fiel à plataforma com forma corrigida: tipos, fuso, unicidade provada e linhagem. É a base sobre a qual qualquer análise pode ser refeita.</w:t>
            </w:r>
          </w:p>
        </w:tc>
      </w:tr>
      <w:tr>
        <w:tc>
          <w:tcPr>
            <w:tcW w:type="dxa" w:w="1300"/>
            <w:tcBorders>
              <w:top w:val="none"/>
              <w:left w:val="none"/>
              <w:bottom w:val="single" w:color="DFE3E8" w:sz="4"/>
              <w:right w:val="none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2181F"/>
                <w:sz w:val="170"/>
                <w:szCs w:val="170"/>
              </w:rPr>
              <w:t xml:space="preserve">Refined</w:t>
            </w:r>
          </w:p>
        </w:tc>
        <w:tc>
          <w:tcPr>
            <w:tcW w:type="dxa" w:w="4300"/>
            <w:tcBorders>
              <w:top w:val="none"/>
              <w:left w:val="none"/>
              <w:bottom w:val="single" w:color="DFE3E8" w:sz="4"/>
              <w:right w:val="none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2181F"/>
                <w:sz w:val="170"/>
                <w:szCs w:val="170"/>
              </w:rPr>
              <w:t xml:space="preserve">Um produto de dados de mídia cobrindo </w:t>
            </w:r>
            <w:r>
              <w:rPr>
                <w:rFonts w:ascii="Calibri" w:cs="Calibri" w:eastAsia="Calibri" w:hAnsi="Calibri"/>
                <w:b/>
                <w:bCs/>
                <w:color w:val="12181F"/>
                <w:sz w:val="170"/>
                <w:szCs w:val="170"/>
              </w:rPr>
              <w:t xml:space="preserve">as duas plataformas na mesma tabela</w:t>
            </w:r>
            <w:r>
              <w:rPr>
                <w:rFonts w:ascii="Calibri" w:cs="Calibri" w:eastAsia="Calibri" w:hAnsi="Calibri"/>
                <w:color w:val="12181F"/>
                <w:sz w:val="170"/>
                <w:szCs w:val="170"/>
              </w:rPr>
              <w:t xml:space="preserve">, no grão de campanha por dia, com as regras de negócio declaradas e numeradas.</w:t>
            </w:r>
          </w:p>
        </w:tc>
        <w:tc>
          <w:tcPr>
            <w:tcW w:type="dxa" w:w="4038"/>
            <w:tcBorders>
              <w:top w:val="none"/>
              <w:left w:val="none"/>
              <w:bottom w:val="single" w:color="DFE3E8" w:sz="4"/>
              <w:right w:val="none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2181F"/>
                <w:sz w:val="170"/>
                <w:szCs w:val="170"/>
              </w:rPr>
              <w:t xml:space="preserve">Camada oficial de consumo. É onde a verba se soma e onde os indicadores derivados (CPC, CPA, ROAS) são calculados a partir de totais — nunca por média de médias.</w:t>
            </w:r>
          </w:p>
        </w:tc>
      </w:tr>
    </w:tbl>
    <w:p>
      <w:pPr>
        <w:spacing w:after="60" w:before="80" w:line="220"/>
      </w:pPr>
      <w:r>
        <w:rPr>
          <w:rFonts w:ascii="Calibri" w:cs="Calibri" w:eastAsia="Calibri" w:hAnsi="Calibri"/>
          <w:color w:val="6B7684"/>
          <w:sz w:val="150"/>
          <w:szCs w:val="150"/>
        </w:rPr>
        <w:t xml:space="preserve">Inventário em 08/09/2026. Os cinco recortes de segmentação foram publicados hoje; a primeira materialização deles ocorre no ciclo de carga desta terça-feira.</w:t>
      </w:r>
    </w:p>
    <w:p>
      <w:pPr>
        <w:spacing w:after="90" w:before="200"/>
      </w:pPr>
      <w:r>
        <w:rPr>
          <w:rFonts w:ascii="Calibri" w:cs="Calibri" w:eastAsia="Calibri" w:hAnsi="Calibri"/>
          <w:b/>
          <w:bCs/>
          <w:color w:val="12181F"/>
          <w:sz w:val="220"/>
          <w:szCs w:val="220"/>
        </w:rPr>
        <w:t xml:space="preserve">Entregas de hoje, 08/09/2026</w:t>
      </w:r>
    </w:p>
    <w:p>
      <w:pPr>
        <w:pStyle w:val="ListParagraph"/>
        <w:numPr>
          <w:ilvl w:val="0"/>
          <w:numId w:val="2"/>
        </w:numPr>
        <w:spacing w:after="60" w:before="0" w:line="260"/>
      </w:pPr>
      <w:r>
        <w:rPr>
          <w:rFonts w:ascii="Calibri" w:cs="Calibri" w:eastAsia="Calibri" w:hAnsi="Calibri"/>
          <w:b/>
          <w:bCs/>
          <w:color w:val="12181F"/>
          <w:sz w:val="200"/>
          <w:szCs w:val="200"/>
        </w:rPr>
        <w:t xml:space="preserve">Cinco recortes de segmentação do Google Ads</w:t>
      </w:r>
      <w:r>
        <w:rPr>
          <w:rFonts w:ascii="Calibri" w:cs="Calibri" w:eastAsia="Calibri" w:hAnsi="Calibri"/>
          <w:color w:val="12181F"/>
          <w:sz w:val="200"/>
          <w:szCs w:val="200"/>
        </w:rPr>
        <w:t xml:space="preserve"> publicados na camada Trusted, consolidando as 39 contas em cada um. Abrem análise de público, geografia e termo de busca que antes não existia na base.</w:t>
      </w:r>
    </w:p>
    <w:p>
      <w:pPr>
        <w:pStyle w:val="ListParagraph"/>
        <w:numPr>
          <w:ilvl w:val="0"/>
          <w:numId w:val="2"/>
        </w:numPr>
        <w:spacing w:after="60" w:before="0" w:line="260"/>
      </w:pPr>
      <w:r>
        <w:rPr>
          <w:rFonts w:ascii="Calibri" w:cs="Calibri" w:eastAsia="Calibri" w:hAnsi="Calibri"/>
          <w:b/>
          <w:bCs/>
          <w:color w:val="12181F"/>
          <w:sz w:val="200"/>
          <w:szCs w:val="200"/>
        </w:rPr>
        <w:t xml:space="preserve">Produto de mídia da Refined passou a cobrir Meta além de Google Ads.</w:t>
      </w:r>
      <w:r>
        <w:rPr>
          <w:rFonts w:ascii="Calibri" w:cs="Calibri" w:eastAsia="Calibri" w:hAnsi="Calibri"/>
          <w:color w:val="12181F"/>
          <w:sz w:val="200"/>
          <w:szCs w:val="200"/>
        </w:rPr>
        <w:t xml:space="preserve"> Até hoje representava apenas o Google — cerca de 37% da verba. Passa a representar as duas plataformas.</w:t>
      </w:r>
    </w:p>
    <w:p>
      <w:pPr>
        <w:pStyle w:val="ListParagraph"/>
        <w:numPr>
          <w:ilvl w:val="0"/>
          <w:numId w:val="2"/>
        </w:numPr>
        <w:spacing w:after="140" w:before="0" w:line="260"/>
      </w:pPr>
      <w:r>
        <w:rPr>
          <w:rFonts w:ascii="Calibri" w:cs="Calibri" w:eastAsia="Calibri" w:hAnsi="Calibri"/>
          <w:b/>
          <w:bCs/>
          <w:color w:val="12181F"/>
          <w:sz w:val="200"/>
          <w:szCs w:val="200"/>
        </w:rPr>
        <w:t xml:space="preserve">Correção de um alarme falso iminente:</w:t>
      </w:r>
      <w:r>
        <w:rPr>
          <w:rFonts w:ascii="Calibri" w:cs="Calibri" w:eastAsia="Calibri" w:hAnsi="Calibri"/>
          <w:color w:val="12181F"/>
          <w:sz w:val="200"/>
          <w:szCs w:val="200"/>
        </w:rPr>
        <w:t xml:space="preserve"> o indicador de defasagem de fonte foi recalibrado de 2 para 9 dias, porque a carga passou de diária para semanal em 04/09. Sem o ajuste, todas as contas seriam marcadas como defasadas a partir de quinta-feira, e o indicador perderia utilidade.</w:t>
      </w:r>
    </w:p>
    <w:p>
      <w:pPr>
        <w:pBdr>
          <w:bottom w:val="single" w:color="DFE3E8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0B3A5D"/>
          <w:sz w:val="180"/>
          <w:szCs w:val="180"/>
        </w:rPr>
        <w:t xml:space="preserve">4. EVIDÊNCIA DE QUALIDADE</w:t>
      </w:r>
    </w:p>
    <w:p>
      <w:pPr>
        <w:spacing w:after="140" w:before="0" w:line="260"/>
      </w:pPr>
      <w:r>
        <w:rPr>
          <w:rFonts w:ascii="Calibri" w:cs="Calibri" w:eastAsia="Calibri" w:hAnsi="Calibri"/>
          <w:color w:val="12181F"/>
          <w:sz w:val="200"/>
          <w:szCs w:val="200"/>
        </w:rPr>
        <w:t xml:space="preserve">Nenhuma camada foi considerada pronta sem prova numérica. As verificações abaixo foram executadas contra as tabelas em produção em 08/09/2026.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2900"/>
        <w:gridCol w:w="3638"/>
      </w:tblGrid>
      <w:tr>
        <w:trPr>
          <w:tblHeader/>
        </w:trPr>
        <w:tc>
          <w:tcPr>
            <w:tcW w:type="dxa" w:w="3100"/>
            <w:tcBorders>
              <w:top w:val="none"/>
              <w:left w:val="none"/>
              <w:bottom w:val="single" w:color="0B3A5D" w:sz="8"/>
              <w:right w:val="none"/>
            </w:tcBorders>
            <w:shd w:fill="EA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bottom"/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0B3A5D"/>
                <w:sz w:val="150"/>
                <w:szCs w:val="150"/>
              </w:rPr>
              <w:t xml:space="preserve">VERIFICAÇÃO</w:t>
            </w:r>
          </w:p>
        </w:tc>
        <w:tc>
          <w:tcPr>
            <w:tcW w:type="dxa" w:w="2900"/>
            <w:tcBorders>
              <w:top w:val="none"/>
              <w:left w:val="none"/>
              <w:bottom w:val="single" w:color="0B3A5D" w:sz="8"/>
              <w:right w:val="none"/>
            </w:tcBorders>
            <w:shd w:fill="EA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bottom"/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0B3A5D"/>
                <w:sz w:val="150"/>
                <w:szCs w:val="150"/>
              </w:rPr>
              <w:t xml:space="preserve">RESULTADO</w:t>
            </w:r>
          </w:p>
        </w:tc>
        <w:tc>
          <w:tcPr>
            <w:tcW w:type="dxa" w:w="3638"/>
            <w:tcBorders>
              <w:top w:val="none"/>
              <w:left w:val="none"/>
              <w:bottom w:val="single" w:color="0B3A5D" w:sz="8"/>
              <w:right w:val="none"/>
            </w:tcBorders>
            <w:shd w:fill="EA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bottom"/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0B3A5D"/>
                <w:sz w:val="150"/>
                <w:szCs w:val="150"/>
              </w:rPr>
              <w:t xml:space="preserve">O QUE ISSO GARANTE</w:t>
            </w:r>
          </w:p>
        </w:tc>
      </w:tr>
      <w:tr>
        <w:tc>
          <w:tcPr>
            <w:tcW w:type="dxa" w:w="3100"/>
            <w:tcBorders>
              <w:top w:val="none"/>
              <w:left w:val="none"/>
              <w:bottom w:val="single" w:color="DFE3E8" w:sz="4"/>
              <w:right w:val="none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2181F"/>
                <w:sz w:val="170"/>
                <w:szCs w:val="170"/>
              </w:rPr>
              <w:t xml:space="preserve">Unicidade do grão no fato de Meta</w:t>
            </w:r>
          </w:p>
        </w:tc>
        <w:tc>
          <w:tcPr>
            <w:tcW w:type="dxa" w:w="2900"/>
            <w:tcBorders>
              <w:top w:val="none"/>
              <w:left w:val="none"/>
              <w:bottom w:val="single" w:color="DFE3E8" w:sz="4"/>
              <w:right w:val="none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2181F"/>
                <w:sz w:val="170"/>
                <w:szCs w:val="170"/>
              </w:rPr>
              <w:t xml:space="preserve">137.744 registros = 137.744 chaves = 137.744 assinaturas de conteúdo</w:t>
            </w:r>
          </w:p>
        </w:tc>
        <w:tc>
          <w:tcPr>
            <w:tcW w:type="dxa" w:w="3638"/>
            <w:tcBorders>
              <w:top w:val="none"/>
              <w:left w:val="none"/>
              <w:bottom w:val="single" w:color="DFE3E8" w:sz="4"/>
              <w:right w:val="none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2181F"/>
                <w:sz w:val="170"/>
                <w:szCs w:val="170"/>
              </w:rPr>
              <w:t xml:space="preserve">Nenhuma linha duplicada e nenhuma perdida na consolidação de 7 contas.</w:t>
            </w:r>
          </w:p>
        </w:tc>
      </w:tr>
      <w:tr>
        <w:tc>
          <w:tcPr>
            <w:tcW w:type="dxa" w:w="3100"/>
            <w:tcBorders>
              <w:top w:val="none"/>
              <w:left w:val="none"/>
              <w:bottom w:val="single" w:color="DFE3E8" w:sz="4"/>
              <w:right w:val="none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2181F"/>
                <w:sz w:val="170"/>
                <w:szCs w:val="170"/>
              </w:rPr>
              <w:t xml:space="preserve">Consolidação de Meta contra o modelo anterior</w:t>
            </w:r>
          </w:p>
        </w:tc>
        <w:tc>
          <w:tcPr>
            <w:tcW w:type="dxa" w:w="2900"/>
            <w:tcBorders>
              <w:top w:val="none"/>
              <w:left w:val="none"/>
              <w:bottom w:val="single" w:color="DFE3E8" w:sz="4"/>
              <w:right w:val="none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2181F"/>
                <w:sz w:val="170"/>
                <w:szCs w:val="170"/>
              </w:rPr>
              <w:t xml:space="preserve">reproduz o total ao centavo</w:t>
            </w:r>
          </w:p>
        </w:tc>
        <w:tc>
          <w:tcPr>
            <w:tcW w:type="dxa" w:w="3638"/>
            <w:tcBorders>
              <w:top w:val="none"/>
              <w:left w:val="none"/>
              <w:bottom w:val="single" w:color="DFE3E8" w:sz="4"/>
              <w:right w:val="none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2181F"/>
                <w:sz w:val="170"/>
                <w:szCs w:val="170"/>
              </w:rPr>
              <w:t xml:space="preserve">A troca de dez tabelas por cliente por uma tabela única não alterou nenhum número.</w:t>
            </w:r>
          </w:p>
        </w:tc>
      </w:tr>
      <w:tr>
        <w:tc>
          <w:tcPr>
            <w:tcW w:type="dxa" w:w="3100"/>
            <w:tcBorders>
              <w:top w:val="none"/>
              <w:left w:val="none"/>
              <w:bottom w:val="single" w:color="DFE3E8" w:sz="4"/>
              <w:right w:val="none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2181F"/>
                <w:sz w:val="170"/>
                <w:szCs w:val="170"/>
              </w:rPr>
              <w:t xml:space="preserve">Integridade entre camadas nos pilotos</w:t>
            </w:r>
          </w:p>
        </w:tc>
        <w:tc>
          <w:tcPr>
            <w:tcW w:type="dxa" w:w="2900"/>
            <w:tcBorders>
              <w:top w:val="none"/>
              <w:left w:val="none"/>
              <w:bottom w:val="single" w:color="DFE3E8" w:sz="4"/>
              <w:right w:val="none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2181F"/>
                <w:sz w:val="170"/>
                <w:szCs w:val="170"/>
              </w:rPr>
              <w:t xml:space="preserve">zero registros não confiáveis</w:t>
            </w:r>
          </w:p>
        </w:tc>
        <w:tc>
          <w:tcPr>
            <w:tcW w:type="dxa" w:w="3638"/>
            <w:tcBorders>
              <w:top w:val="none"/>
              <w:left w:val="none"/>
              <w:bottom w:val="single" w:color="DFE3E8" w:sz="4"/>
              <w:right w:val="none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2181F"/>
                <w:sz w:val="170"/>
                <w:szCs w:val="170"/>
              </w:rPr>
              <w:t xml:space="preserve">Nenhuma campanha órfã, nenhuma conta fora do catálogo, nenhuma moeda divergente.</w:t>
            </w:r>
          </w:p>
        </w:tc>
      </w:tr>
      <w:tr>
        <w:tc>
          <w:tcPr>
            <w:tcW w:type="dxa" w:w="3100"/>
            <w:tcBorders>
              <w:top w:val="none"/>
              <w:left w:val="none"/>
              <w:bottom w:val="single" w:color="DFE3E8" w:sz="4"/>
              <w:right w:val="none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2181F"/>
                <w:sz w:val="170"/>
                <w:szCs w:val="170"/>
              </w:rPr>
              <w:t xml:space="preserve">Verba preservada no cruzamento com campanha</w:t>
            </w:r>
          </w:p>
        </w:tc>
        <w:tc>
          <w:tcPr>
            <w:tcW w:type="dxa" w:w="2900"/>
            <w:tcBorders>
              <w:top w:val="none"/>
              <w:left w:val="none"/>
              <w:bottom w:val="single" w:color="DFE3E8" w:sz="4"/>
              <w:right w:val="none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2181F"/>
                <w:sz w:val="170"/>
                <w:szCs w:val="170"/>
              </w:rPr>
              <w:t xml:space="preserve">R$ 94.646,41 preservados</w:t>
            </w:r>
          </w:p>
        </w:tc>
        <w:tc>
          <w:tcPr>
            <w:tcW w:type="dxa" w:w="3638"/>
            <w:tcBorders>
              <w:top w:val="none"/>
              <w:left w:val="none"/>
              <w:bottom w:val="single" w:color="DFE3E8" w:sz="4"/>
              <w:right w:val="none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2181F"/>
                <w:sz w:val="170"/>
                <w:szCs w:val="170"/>
              </w:rPr>
              <w:t xml:space="preserve">São 18 campanhas já excluídas no Meta que ainda carregam investimento histórico — 4,1% da verba da plataforma. O desenho do cruzamento as mantém visíveis em vez de descartá-las em silêncio.</w:t>
            </w:r>
          </w:p>
        </w:tc>
      </w:tr>
    </w:tbl>
    <w:p>
      <w:pPr>
        <w:pBdr>
          <w:bottom w:val="single" w:color="DFE3E8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0B3A5D"/>
          <w:sz w:val="180"/>
          <w:szCs w:val="180"/>
        </w:rPr>
        <w:t xml:space="preserve">5. LIMITES DECLARADOS DA PLATAFORMA</w:t>
      </w:r>
    </w:p>
    <w:p>
      <w:pPr>
        <w:spacing w:after="140" w:before="0" w:line="260"/>
      </w:pPr>
      <w:r>
        <w:rPr>
          <w:rFonts w:ascii="Calibri" w:cs="Calibri" w:eastAsia="Calibri" w:hAnsi="Calibri"/>
          <w:color w:val="12181F"/>
          <w:sz w:val="200"/>
          <w:szCs w:val="200"/>
        </w:rPr>
        <w:t xml:space="preserve">Estes limites são de origem — impostos pelo Google e pelo Meta — e </w:t>
      </w:r>
      <w:r>
        <w:rPr>
          <w:rFonts w:ascii="Calibri" w:cs="Calibri" w:eastAsia="Calibri" w:hAnsi="Calibri"/>
          <w:b/>
          <w:bCs/>
          <w:color w:val="12181F"/>
          <w:sz w:val="200"/>
          <w:szCs w:val="200"/>
        </w:rPr>
        <w:t xml:space="preserve">não são corrigíveis por engenharia</w:t>
      </w:r>
      <w:r>
        <w:rPr>
          <w:rFonts w:ascii="Calibri" w:cs="Calibri" w:eastAsia="Calibri" w:hAnsi="Calibri"/>
          <w:color w:val="12181F"/>
          <w:sz w:val="200"/>
          <w:szCs w:val="200"/>
        </w:rPr>
        <w:t xml:space="preserve">. Estão escritos na documentação de cada tabela para que nenhum relatório futuro os trate como erro nem os ignore.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400"/>
        <w:gridCol w:w="5138"/>
      </w:tblGrid>
      <w:tr>
        <w:trPr>
          <w:tblHeader/>
        </w:trPr>
        <w:tc>
          <w:tcPr>
            <w:tcW w:type="dxa" w:w="3100"/>
            <w:tcBorders>
              <w:top w:val="none"/>
              <w:left w:val="none"/>
              <w:bottom w:val="single" w:color="0B3A5D" w:sz="8"/>
              <w:right w:val="none"/>
            </w:tcBorders>
            <w:shd w:fill="EA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bottom"/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0B3A5D"/>
                <w:sz w:val="150"/>
                <w:szCs w:val="150"/>
              </w:rPr>
              <w:t xml:space="preserve">LIMITE</w:t>
            </w:r>
          </w:p>
        </w:tc>
        <w:tc>
          <w:tcPr>
            <w:tcW w:type="dxa" w:w="1400"/>
            <w:tcBorders>
              <w:top w:val="none"/>
              <w:left w:val="none"/>
              <w:bottom w:val="single" w:color="0B3A5D" w:sz="8"/>
              <w:right w:val="none"/>
            </w:tcBorders>
            <w:shd w:fill="EA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bottom"/>
          </w:tcPr>
          <w:p>
            <w:pPr>
              <w:spacing w:after="0" w:line="22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3A5D"/>
                <w:sz w:val="150"/>
                <w:szCs w:val="150"/>
              </w:rPr>
              <w:t xml:space="preserve">COBERTURA</w:t>
            </w:r>
          </w:p>
        </w:tc>
        <w:tc>
          <w:tcPr>
            <w:tcW w:type="dxa" w:w="5138"/>
            <w:tcBorders>
              <w:top w:val="none"/>
              <w:left w:val="none"/>
              <w:bottom w:val="single" w:color="0B3A5D" w:sz="8"/>
              <w:right w:val="none"/>
            </w:tcBorders>
            <w:shd w:fill="EA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bottom"/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0B3A5D"/>
                <w:sz w:val="150"/>
                <w:szCs w:val="150"/>
              </w:rPr>
              <w:t xml:space="preserve">CONSEQUÊNCIA PARA A LEITURA</w:t>
            </w:r>
          </w:p>
        </w:tc>
      </w:tr>
      <w:tr>
        <w:tc>
          <w:tcPr>
            <w:tcW w:type="dxa" w:w="3100"/>
            <w:tcBorders>
              <w:top w:val="none"/>
              <w:left w:val="none"/>
              <w:bottom w:val="single" w:color="DFE3E8" w:sz="4"/>
              <w:right w:val="none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2181F"/>
                <w:sz w:val="170"/>
                <w:szCs w:val="170"/>
              </w:rPr>
              <w:t xml:space="preserve">Campanhas Performance Max não publicam recorte demográfico</w:t>
            </w:r>
          </w:p>
        </w:tc>
        <w:tc>
          <w:tcPr>
            <w:tcW w:type="dxa" w:w="1400"/>
            <w:tcBorders>
              <w:top w:val="none"/>
              <w:left w:val="none"/>
              <w:bottom w:val="single" w:color="DFE3E8" w:sz="4"/>
              <w:right w:val="none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2181F"/>
                <w:sz w:val="170"/>
                <w:szCs w:val="170"/>
              </w:rPr>
              <w:t xml:space="preserve">80,0%</w:t>
            </w:r>
          </w:p>
        </w:tc>
        <w:tc>
          <w:tcPr>
            <w:tcW w:type="dxa" w:w="5138"/>
            <w:tcBorders>
              <w:top w:val="none"/>
              <w:left w:val="none"/>
              <w:bottom w:val="single" w:color="DFE3E8" w:sz="4"/>
              <w:right w:val="none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2181F"/>
                <w:sz w:val="170"/>
                <w:szCs w:val="170"/>
              </w:rPr>
              <w:t xml:space="preserve">R$ 270.088,20 de verba — 20,1% do total — não tem faixa etária nem gênero disponível. A relação é exata: a cobertura é sempre 100% menos a fatia em Performance Max.</w:t>
            </w:r>
          </w:p>
        </w:tc>
      </w:tr>
      <w:tr>
        <w:tc>
          <w:tcPr>
            <w:tcW w:type="dxa" w:w="3100"/>
            <w:tcBorders>
              <w:top w:val="none"/>
              <w:left w:val="none"/>
              <w:bottom w:val="single" w:color="DFE3E8" w:sz="4"/>
              <w:right w:val="none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2181F"/>
                <w:sz w:val="170"/>
                <w:szCs w:val="170"/>
              </w:rPr>
              <w:t xml:space="preserve">Localização física do usuário não sempre resolvida</w:t>
            </w:r>
          </w:p>
        </w:tc>
        <w:tc>
          <w:tcPr>
            <w:tcW w:type="dxa" w:w="1400"/>
            <w:tcBorders>
              <w:top w:val="none"/>
              <w:left w:val="none"/>
              <w:bottom w:val="single" w:color="DFE3E8" w:sz="4"/>
              <w:right w:val="none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2181F"/>
                <w:sz w:val="170"/>
                <w:szCs w:val="170"/>
              </w:rPr>
              <w:t xml:space="preserve">93,5%</w:t>
            </w:r>
          </w:p>
        </w:tc>
        <w:tc>
          <w:tcPr>
            <w:tcW w:type="dxa" w:w="5138"/>
            <w:tcBorders>
              <w:top w:val="none"/>
              <w:left w:val="none"/>
              <w:bottom w:val="single" w:color="DFE3E8" w:sz="4"/>
              <w:right w:val="none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2181F"/>
                <w:sz w:val="170"/>
                <w:szCs w:val="170"/>
              </w:rPr>
              <w:t xml:space="preserve">Para relatório de verba por região existe um recorte alternativo que fecha em 100%, porque usa o alvo configurado na campanha e não a observação.</w:t>
            </w:r>
          </w:p>
        </w:tc>
      </w:tr>
      <w:tr>
        <w:tc>
          <w:tcPr>
            <w:tcW w:type="dxa" w:w="3100"/>
            <w:tcBorders>
              <w:top w:val="none"/>
              <w:left w:val="none"/>
              <w:bottom w:val="single" w:color="DFE3E8" w:sz="4"/>
              <w:right w:val="none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2181F"/>
                <w:sz w:val="170"/>
                <w:szCs w:val="170"/>
              </w:rPr>
              <w:t xml:space="preserve">Limiar de privacidade em termos de busca</w:t>
            </w:r>
          </w:p>
        </w:tc>
        <w:tc>
          <w:tcPr>
            <w:tcW w:type="dxa" w:w="1400"/>
            <w:tcBorders>
              <w:top w:val="none"/>
              <w:left w:val="none"/>
              <w:bottom w:val="single" w:color="DFE3E8" w:sz="4"/>
              <w:right w:val="none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2181F"/>
                <w:sz w:val="170"/>
                <w:szCs w:val="170"/>
              </w:rPr>
              <w:t xml:space="preserve">61,2%</w:t>
            </w:r>
          </w:p>
        </w:tc>
        <w:tc>
          <w:tcPr>
            <w:tcW w:type="dxa" w:w="5138"/>
            <w:tcBorders>
              <w:top w:val="none"/>
              <w:left w:val="none"/>
              <w:bottom w:val="single" w:color="DFE3E8" w:sz="4"/>
              <w:right w:val="none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2181F"/>
                <w:sz w:val="170"/>
                <w:szCs w:val="170"/>
              </w:rPr>
              <w:t xml:space="preserve">Termo com volume baixo não é publicado. A cobertura varia de 15,7% a 86,8% por conta, conforme o perfil de volume. Serve para negativação de termo, não para totalizar verba.</w:t>
            </w:r>
          </w:p>
        </w:tc>
      </w:tr>
    </w:tbl>
    <w:p>
      <w:pPr>
        <w:spacing w:after="60" w:before="80" w:line="220"/>
      </w:pPr>
      <w:r>
        <w:rPr>
          <w:rFonts w:ascii="Calibri" w:cs="Calibri" w:eastAsia="Calibri" w:hAnsi="Calibri"/>
          <w:color w:val="6B7684"/>
          <w:sz w:val="150"/>
          <w:szCs w:val="150"/>
        </w:rPr>
        <w:t xml:space="preserve">Percentuais medidos em 08/09/2026 sobre as 36 contas de Google Ads com dado, em reais.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0B3A5D" w:sz="18"/>
              <w:bottom w:val="none"/>
              <w:right w:val="none"/>
            </w:tcBorders>
            <w:shd w:fill="EAF1F7" w:color="auto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70" w:line="220"/>
            </w:pPr>
            <w:r>
              <w:rPr>
                <w:rFonts w:ascii="Calibri" w:cs="Calibri" w:eastAsia="Calibri" w:hAnsi="Calibri"/>
                <w:b/>
                <w:bCs/>
                <w:color w:val="0B3A5D"/>
                <w:sz w:val="150"/>
                <w:szCs w:val="150"/>
              </w:rPr>
              <w:t xml:space="preserve">REGRA DE LEITURA CONSOLIDADA</w:t>
            </w:r>
          </w:p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2181F"/>
                <w:sz w:val="200"/>
                <w:szCs w:val="200"/>
              </w:rPr>
              <w:t xml:space="preserve">Verba de mídia se soma na camada de consumo. Recorte serve para dividir, nunca para totalizar.</w:t>
            </w:r>
            <w:r>
              <w:rPr>
                <w:rFonts w:ascii="Calibri" w:cs="Calibri" w:eastAsia="Calibri" w:hAnsi="Calibri"/>
                <w:color w:val="12181F"/>
                <w:sz w:val="200"/>
                <w:szCs w:val="200"/>
              </w:rPr>
              <w:t xml:space="preserve"> Um único dos cinco recortes reconcilia com o investimento total; os outros quatro cobrem parcelas conhecidas e declaradas. Somar verba a partir de um recorte produz número menor que o real, com aparência de correto.</w:t>
            </w:r>
          </w:p>
        </w:tc>
      </w:tr>
    </w:tbl>
    <w:p>
      <w:pPr>
        <w:pBdr>
          <w:bottom w:val="single" w:color="DFE3E8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0B3A5D"/>
          <w:sz w:val="180"/>
          <w:szCs w:val="180"/>
        </w:rPr>
        <w:t xml:space="preserve">6. RISCOS E VALOR BLOQUEADO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00"/>
        <w:gridCol w:w="2100"/>
        <w:gridCol w:w="3138"/>
      </w:tblGrid>
      <w:tr>
        <w:trPr>
          <w:tblHeader/>
        </w:trPr>
        <w:tc>
          <w:tcPr>
            <w:tcW w:type="dxa" w:w="900"/>
            <w:tcBorders>
              <w:top w:val="none"/>
              <w:left w:val="none"/>
              <w:bottom w:val="single" w:color="0B3A5D" w:sz="8"/>
              <w:right w:val="none"/>
            </w:tcBorders>
            <w:shd w:fill="EA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bottom"/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0B3A5D"/>
                <w:sz w:val="150"/>
                <w:szCs w:val="150"/>
              </w:rPr>
              <w:t xml:space="preserve">GRAU</w:t>
            </w:r>
          </w:p>
        </w:tc>
        <w:tc>
          <w:tcPr>
            <w:tcW w:type="dxa" w:w="3500"/>
            <w:tcBorders>
              <w:top w:val="none"/>
              <w:left w:val="none"/>
              <w:bottom w:val="single" w:color="0B3A5D" w:sz="8"/>
              <w:right w:val="none"/>
            </w:tcBorders>
            <w:shd w:fill="EA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bottom"/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0B3A5D"/>
                <w:sz w:val="150"/>
                <w:szCs w:val="150"/>
              </w:rPr>
              <w:t xml:space="preserve">RISCO</w:t>
            </w:r>
          </w:p>
        </w:tc>
        <w:tc>
          <w:tcPr>
            <w:tcW w:type="dxa" w:w="2100"/>
            <w:tcBorders>
              <w:top w:val="none"/>
              <w:left w:val="none"/>
              <w:bottom w:val="single" w:color="0B3A5D" w:sz="8"/>
              <w:right w:val="none"/>
            </w:tcBorders>
            <w:shd w:fill="EA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bottom"/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0B3A5D"/>
                <w:sz w:val="150"/>
                <w:szCs w:val="150"/>
              </w:rPr>
              <w:t xml:space="preserve">EXPOSIÇÃO</w:t>
            </w:r>
          </w:p>
        </w:tc>
        <w:tc>
          <w:tcPr>
            <w:tcW w:type="dxa" w:w="3138"/>
            <w:tcBorders>
              <w:top w:val="none"/>
              <w:left w:val="none"/>
              <w:bottom w:val="single" w:color="0B3A5D" w:sz="8"/>
              <w:right w:val="none"/>
            </w:tcBorders>
            <w:shd w:fill="EA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bottom"/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0B3A5D"/>
                <w:sz w:val="150"/>
                <w:szCs w:val="150"/>
              </w:rPr>
              <w:t xml:space="preserve">ONDE SE RESOLVE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DFE3E8" w:sz="4"/>
              <w:right w:val="none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93221F"/>
                <w:sz w:val="170"/>
                <w:szCs w:val="170"/>
              </w:rPr>
              <w:t xml:space="preserve">Alto</w:t>
            </w:r>
          </w:p>
        </w:tc>
        <w:tc>
          <w:tcPr>
            <w:tcW w:type="dxa" w:w="3500"/>
            <w:tcBorders>
              <w:top w:val="none"/>
              <w:left w:val="none"/>
              <w:bottom w:val="single" w:color="DFE3E8" w:sz="4"/>
              <w:right w:val="none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2181F"/>
                <w:sz w:val="170"/>
                <w:szCs w:val="170"/>
              </w:rPr>
              <w:t xml:space="preserve">Nove contas de Meta do Grupo Braga não integradas.</w:t>
            </w:r>
            <w:r>
              <w:rPr>
                <w:rFonts w:ascii="Calibri" w:cs="Calibri" w:eastAsia="Calibri" w:hAnsi="Calibri"/>
                <w:color w:val="12181F"/>
                <w:sz w:val="170"/>
                <w:szCs w:val="170"/>
              </w:rPr>
              <w:t xml:space="preserve"> Dependem de estrutura de destino que só o backoffice da plataforma cria.</w:t>
            </w:r>
          </w:p>
        </w:tc>
        <w:tc>
          <w:tcPr>
            <w:tcW w:type="dxa" w:w="2100"/>
            <w:tcBorders>
              <w:top w:val="none"/>
              <w:left w:val="none"/>
              <w:bottom w:val="single" w:color="DFE3E8" w:sz="4"/>
              <w:right w:val="none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2181F"/>
                <w:sz w:val="170"/>
                <w:szCs w:val="170"/>
              </w:rPr>
              <w:t xml:space="preserve">R$ 1,89 milhão de verba fora da governança</w:t>
            </w:r>
          </w:p>
        </w:tc>
        <w:tc>
          <w:tcPr>
            <w:tcW w:type="dxa" w:w="3138"/>
            <w:tcBorders>
              <w:top w:val="none"/>
              <w:left w:val="none"/>
              <w:bottom w:val="single" w:color="DFE3E8" w:sz="4"/>
              <w:right w:val="none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2181F"/>
                <w:sz w:val="170"/>
                <w:szCs w:val="170"/>
              </w:rPr>
              <w:t xml:space="preserve">Backoffice da Nekt, seguido de nove autorizações de acesso.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DFE3E8" w:sz="4"/>
              <w:right w:val="none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93221F"/>
                <w:sz w:val="170"/>
                <w:szCs w:val="170"/>
              </w:rPr>
              <w:t xml:space="preserve">Alto</w:t>
            </w:r>
          </w:p>
        </w:tc>
        <w:tc>
          <w:tcPr>
            <w:tcW w:type="dxa" w:w="3500"/>
            <w:tcBorders>
              <w:top w:val="none"/>
              <w:left w:val="none"/>
              <w:bottom w:val="single" w:color="DFE3E8" w:sz="4"/>
              <w:right w:val="none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2181F"/>
                <w:sz w:val="170"/>
                <w:szCs w:val="170"/>
              </w:rPr>
              <w:t xml:space="preserve">Três contas do Grupo Unipar nunca extraíram.</w:t>
            </w:r>
            <w:r>
              <w:rPr>
                <w:rFonts w:ascii="Calibri" w:cs="Calibri" w:eastAsia="Calibri" w:hAnsi="Calibri"/>
                <w:color w:val="12181F"/>
                <w:sz w:val="170"/>
                <w:szCs w:val="170"/>
              </w:rPr>
              <w:t xml:space="preserve"> A credencial usada pela plataforma não tem acesso à central de contas do cliente.</w:t>
            </w:r>
          </w:p>
        </w:tc>
        <w:tc>
          <w:tcPr>
            <w:tcW w:type="dxa" w:w="2100"/>
            <w:tcBorders>
              <w:top w:val="none"/>
              <w:left w:val="none"/>
              <w:bottom w:val="single" w:color="DFE3E8" w:sz="4"/>
              <w:right w:val="none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2181F"/>
                <w:sz w:val="170"/>
                <w:szCs w:val="170"/>
              </w:rPr>
              <w:t xml:space="preserve">cerca de R$ 4 mil por mês sem visibilidade</w:t>
            </w:r>
          </w:p>
        </w:tc>
        <w:tc>
          <w:tcPr>
            <w:tcW w:type="dxa" w:w="3138"/>
            <w:tcBorders>
              <w:top w:val="none"/>
              <w:left w:val="none"/>
              <w:bottom w:val="single" w:color="DFE3E8" w:sz="4"/>
              <w:right w:val="none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2181F"/>
                <w:sz w:val="170"/>
                <w:szCs w:val="170"/>
              </w:rPr>
              <w:t xml:space="preserve">Refazer a autorização com a identidade correta, na interface da plataforma. Credencial não transita por este canal.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DFE3E8" w:sz="4"/>
              <w:right w:val="none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170"/>
                <w:szCs w:val="170"/>
              </w:rPr>
              <w:t xml:space="preserve">Médio</w:t>
            </w:r>
          </w:p>
        </w:tc>
        <w:tc>
          <w:tcPr>
            <w:tcW w:type="dxa" w:w="3500"/>
            <w:tcBorders>
              <w:top w:val="none"/>
              <w:left w:val="none"/>
              <w:bottom w:val="single" w:color="DFE3E8" w:sz="4"/>
              <w:right w:val="none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2181F"/>
                <w:sz w:val="170"/>
                <w:szCs w:val="170"/>
              </w:rPr>
              <w:t xml:space="preserve">Janela de reprocessamento incompatível com a nova cadência.</w:t>
            </w:r>
            <w:r>
              <w:rPr>
                <w:rFonts w:ascii="Calibri" w:cs="Calibri" w:eastAsia="Calibri" w:hAnsi="Calibri"/>
                <w:color w:val="12181F"/>
                <w:sz w:val="170"/>
                <w:szCs w:val="170"/>
              </w:rPr>
              <w:t xml:space="preserve"> A plataforma reprocessa 7 dias, mas a carga passou a ser semanal.</w:t>
            </w:r>
          </w:p>
        </w:tc>
        <w:tc>
          <w:tcPr>
            <w:tcW w:type="dxa" w:w="2100"/>
            <w:tcBorders>
              <w:top w:val="none"/>
              <w:left w:val="none"/>
              <w:bottom w:val="single" w:color="DFE3E8" w:sz="4"/>
              <w:right w:val="none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2181F"/>
                <w:sz w:val="170"/>
                <w:szCs w:val="170"/>
              </w:rPr>
              <w:t xml:space="preserve">correção tardia de conversão pode não ser capturada</w:t>
            </w:r>
          </w:p>
        </w:tc>
        <w:tc>
          <w:tcPr>
            <w:tcW w:type="dxa" w:w="3138"/>
            <w:tcBorders>
              <w:top w:val="none"/>
              <w:left w:val="none"/>
              <w:bottom w:val="single" w:color="DFE3E8" w:sz="4"/>
              <w:right w:val="none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2181F"/>
                <w:sz w:val="170"/>
                <w:szCs w:val="170"/>
              </w:rPr>
              <w:t xml:space="preserve">Elevar a janela para 14 dias na interface da plataforma.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DFE3E8" w:sz="4"/>
              <w:right w:val="none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170"/>
                <w:szCs w:val="170"/>
              </w:rPr>
              <w:t xml:space="preserve">Médio</w:t>
            </w:r>
          </w:p>
        </w:tc>
        <w:tc>
          <w:tcPr>
            <w:tcW w:type="dxa" w:w="3500"/>
            <w:tcBorders>
              <w:top w:val="none"/>
              <w:left w:val="none"/>
              <w:bottom w:val="single" w:color="DFE3E8" w:sz="4"/>
              <w:right w:val="none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2181F"/>
                <w:sz w:val="170"/>
                <w:szCs w:val="170"/>
              </w:rPr>
              <w:t xml:space="preserve">Saldo de créditos da plataforma.</w:t>
            </w:r>
            <w:r>
              <w:rPr>
                <w:rFonts w:ascii="Calibri" w:cs="Calibri" w:eastAsia="Calibri" w:hAnsi="Calibri"/>
                <w:color w:val="12181F"/>
                <w:sz w:val="170"/>
                <w:szCs w:val="170"/>
              </w:rPr>
              <w:t xml:space="preserve"> Em 04/09 o saldo esgotou e cinco pipelines falharam por 24 horas.</w:t>
            </w:r>
          </w:p>
        </w:tc>
        <w:tc>
          <w:tcPr>
            <w:tcW w:type="dxa" w:w="2100"/>
            <w:tcBorders>
              <w:top w:val="none"/>
              <w:left w:val="none"/>
              <w:bottom w:val="single" w:color="DFE3E8" w:sz="4"/>
              <w:right w:val="none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2181F"/>
                <w:sz w:val="170"/>
                <w:szCs w:val="170"/>
              </w:rPr>
              <w:t xml:space="preserve">parada de carga de um dia, já recuperada</w:t>
            </w:r>
          </w:p>
        </w:tc>
        <w:tc>
          <w:tcPr>
            <w:tcW w:type="dxa" w:w="3138"/>
            <w:tcBorders>
              <w:top w:val="none"/>
              <w:left w:val="none"/>
              <w:bottom w:val="single" w:color="DFE3E8" w:sz="4"/>
              <w:right w:val="none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2181F"/>
                <w:sz w:val="170"/>
                <w:szCs w:val="170"/>
              </w:rPr>
              <w:t xml:space="preserve">Previsibilidade de recarga junto à área responsável por licenças e pagamentos de plataforma.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DFE3E8" w:sz="4"/>
              <w:right w:val="none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170"/>
                <w:szCs w:val="170"/>
              </w:rPr>
              <w:t xml:space="preserve">Médio</w:t>
            </w:r>
          </w:p>
        </w:tc>
        <w:tc>
          <w:tcPr>
            <w:tcW w:type="dxa" w:w="3500"/>
            <w:tcBorders>
              <w:top w:val="none"/>
              <w:left w:val="none"/>
              <w:bottom w:val="single" w:color="DFE3E8" w:sz="4"/>
              <w:right w:val="none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2181F"/>
                <w:sz w:val="170"/>
                <w:szCs w:val="170"/>
              </w:rPr>
              <w:t xml:space="preserve">Termo de busca contém texto digitado por pessoa.</w:t>
            </w:r>
            <w:r>
              <w:rPr>
                <w:rFonts w:ascii="Calibri" w:cs="Calibri" w:eastAsia="Calibri" w:hAnsi="Calibri"/>
                <w:color w:val="12181F"/>
                <w:sz w:val="170"/>
                <w:szCs w:val="170"/>
              </w:rPr>
              <w:t xml:space="preserve"> Pode conter nome, telefone ou condição de saúde — dado sensível para os seis clientes do setor de saúde.</w:t>
            </w:r>
          </w:p>
        </w:tc>
        <w:tc>
          <w:tcPr>
            <w:tcW w:type="dxa" w:w="2100"/>
            <w:tcBorders>
              <w:top w:val="none"/>
              <w:left w:val="none"/>
              <w:bottom w:val="single" w:color="DFE3E8" w:sz="4"/>
              <w:right w:val="none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2181F"/>
                <w:sz w:val="170"/>
                <w:szCs w:val="170"/>
              </w:rPr>
              <w:t xml:space="preserve">exposição sob Art. 11 da LGPD</w:t>
            </w:r>
          </w:p>
        </w:tc>
        <w:tc>
          <w:tcPr>
            <w:tcW w:type="dxa" w:w="3138"/>
            <w:tcBorders>
              <w:top w:val="none"/>
              <w:left w:val="none"/>
              <w:bottom w:val="single" w:color="DFE3E8" w:sz="4"/>
              <w:right w:val="none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2181F"/>
                <w:sz w:val="170"/>
                <w:szCs w:val="170"/>
              </w:rPr>
              <w:t xml:space="preserve">Decisão de tratamento antes de qualquer exposição em painel, relatório ou exportação.</w:t>
            </w:r>
          </w:p>
        </w:tc>
      </w:tr>
    </w:tbl>
    <w:p>
      <w:pPr>
        <w:spacing w:after="60" w:before="80" w:line="220"/>
      </w:pPr>
      <w:r>
        <w:rPr>
          <w:rFonts w:ascii="Calibri" w:cs="Calibri" w:eastAsia="Calibri" w:hAnsi="Calibri"/>
          <w:color w:val="6B7684"/>
          <w:sz w:val="150"/>
          <w:szCs w:val="150"/>
        </w:rPr>
        <w:t xml:space="preserve">Os valores de exposição das duas primeiras linhas vêm do inventário de pendências consolidado em 31/08/2026, não de medição desta data.</w:t>
      </w:r>
    </w:p>
    <w:p>
      <w:pPr>
        <w:pBdr>
          <w:bottom w:val="single" w:color="DFE3E8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0B3A5D"/>
          <w:sz w:val="180"/>
          <w:szCs w:val="180"/>
        </w:rPr>
        <w:t xml:space="preserve">7. PLANO DE 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500"/>
        <w:gridCol w:w="1400"/>
        <w:gridCol w:w="1538"/>
      </w:tblGrid>
      <w:tr>
        <w:trPr>
          <w:tblHeader/>
        </w:trPr>
        <w:tc>
          <w:tcPr>
            <w:tcW w:type="dxa" w:w="4200"/>
            <w:tcBorders>
              <w:top w:val="none"/>
              <w:left w:val="none"/>
              <w:bottom w:val="single" w:color="0B3A5D" w:sz="8"/>
              <w:right w:val="none"/>
            </w:tcBorders>
            <w:shd w:fill="EA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bottom"/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0B3A5D"/>
                <w:sz w:val="150"/>
                <w:szCs w:val="150"/>
              </w:rPr>
              <w:t xml:space="preserve">AÇÃO</w:t>
            </w:r>
          </w:p>
        </w:tc>
        <w:tc>
          <w:tcPr>
            <w:tcW w:type="dxa" w:w="2500"/>
            <w:tcBorders>
              <w:top w:val="none"/>
              <w:left w:val="none"/>
              <w:bottom w:val="single" w:color="0B3A5D" w:sz="8"/>
              <w:right w:val="none"/>
            </w:tcBorders>
            <w:shd w:fill="EA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bottom"/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0B3A5D"/>
                <w:sz w:val="150"/>
                <w:szCs w:val="150"/>
              </w:rPr>
              <w:t xml:space="preserve">DONO PROPOSTO</w:t>
            </w:r>
          </w:p>
        </w:tc>
        <w:tc>
          <w:tcPr>
            <w:tcW w:type="dxa" w:w="1400"/>
            <w:tcBorders>
              <w:top w:val="none"/>
              <w:left w:val="none"/>
              <w:bottom w:val="single" w:color="0B3A5D" w:sz="8"/>
              <w:right w:val="none"/>
            </w:tcBorders>
            <w:shd w:fill="EA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bottom"/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0B3A5D"/>
                <w:sz w:val="150"/>
                <w:szCs w:val="150"/>
              </w:rPr>
              <w:t xml:space="preserve">PRAZO</w:t>
            </w:r>
          </w:p>
        </w:tc>
        <w:tc>
          <w:tcPr>
            <w:tcW w:type="dxa" w:w="1538"/>
            <w:tcBorders>
              <w:top w:val="none"/>
              <w:left w:val="none"/>
              <w:bottom w:val="single" w:color="0B3A5D" w:sz="8"/>
              <w:right w:val="none"/>
            </w:tcBorders>
            <w:shd w:fill="EA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bottom"/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0B3A5D"/>
                <w:sz w:val="150"/>
                <w:szCs w:val="150"/>
              </w:rPr>
              <w:t xml:space="preserve">SITUAÇÃO</w:t>
            </w:r>
          </w:p>
        </w:tc>
      </w:tr>
      <w:tr>
        <w:tc>
          <w:tcPr>
            <w:tcW w:type="dxa" w:w="4200"/>
            <w:tcBorders>
              <w:top w:val="none"/>
              <w:left w:val="none"/>
              <w:bottom w:val="single" w:color="DFE3E8" w:sz="4"/>
              <w:right w:val="none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2181F"/>
                <w:sz w:val="170"/>
                <w:szCs w:val="170"/>
              </w:rPr>
              <w:t xml:space="preserve">Conferir a materialização dos cinco recortes publicados hoje e registrar o resultado</w:t>
            </w:r>
          </w:p>
        </w:tc>
        <w:tc>
          <w:tcPr>
            <w:tcW w:type="dxa" w:w="2500"/>
            <w:tcBorders>
              <w:top w:val="none"/>
              <w:left w:val="none"/>
              <w:bottom w:val="single" w:color="DFE3E8" w:sz="4"/>
              <w:right w:val="none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2181F"/>
                <w:sz w:val="170"/>
                <w:szCs w:val="170"/>
              </w:rPr>
              <w:t xml:space="preserve">Head de IA</w:t>
            </w:r>
          </w:p>
        </w:tc>
        <w:tc>
          <w:tcPr>
            <w:tcW w:type="dxa" w:w="1400"/>
            <w:tcBorders>
              <w:top w:val="none"/>
              <w:left w:val="none"/>
              <w:bottom w:val="single" w:color="DFE3E8" w:sz="4"/>
              <w:right w:val="none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2181F"/>
                <w:sz w:val="170"/>
                <w:szCs w:val="170"/>
              </w:rPr>
              <w:t xml:space="preserve">08/09/2026</w:t>
            </w:r>
          </w:p>
        </w:tc>
        <w:tc>
          <w:tcPr>
            <w:tcW w:type="dxa" w:w="1538"/>
            <w:tcBorders>
              <w:top w:val="none"/>
              <w:left w:val="none"/>
              <w:bottom w:val="single" w:color="DFE3E8" w:sz="4"/>
              <w:right w:val="none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170"/>
                <w:szCs w:val="170"/>
              </w:rPr>
              <w:t xml:space="preserve">Agendado</w:t>
            </w:r>
          </w:p>
        </w:tc>
      </w:tr>
      <w:tr>
        <w:tc>
          <w:tcPr>
            <w:tcW w:type="dxa" w:w="4200"/>
            <w:tcBorders>
              <w:top w:val="none"/>
              <w:left w:val="none"/>
              <w:bottom w:val="single" w:color="DFE3E8" w:sz="4"/>
              <w:right w:val="none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2181F"/>
                <w:sz w:val="170"/>
                <w:szCs w:val="170"/>
              </w:rPr>
              <w:t xml:space="preserve">Elevar a janela de reprocessamento para 14 dias</w:t>
            </w:r>
          </w:p>
        </w:tc>
        <w:tc>
          <w:tcPr>
            <w:tcW w:type="dxa" w:w="2500"/>
            <w:tcBorders>
              <w:top w:val="none"/>
              <w:left w:val="none"/>
              <w:bottom w:val="single" w:color="DFE3E8" w:sz="4"/>
              <w:right w:val="none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2181F"/>
                <w:sz w:val="170"/>
                <w:szCs w:val="170"/>
              </w:rPr>
              <w:t xml:space="preserve">Head de IA, na interface da plataforma</w:t>
            </w:r>
          </w:p>
        </w:tc>
        <w:tc>
          <w:tcPr>
            <w:tcW w:type="dxa" w:w="1400"/>
            <w:tcBorders>
              <w:top w:val="none"/>
              <w:left w:val="none"/>
              <w:bottom w:val="single" w:color="DFE3E8" w:sz="4"/>
              <w:right w:val="none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2181F"/>
                <w:sz w:val="170"/>
                <w:szCs w:val="170"/>
              </w:rPr>
              <w:t xml:space="preserve">até 15/09/2026</w:t>
            </w:r>
          </w:p>
        </w:tc>
        <w:tc>
          <w:tcPr>
            <w:tcW w:type="dxa" w:w="1538"/>
            <w:tcBorders>
              <w:top w:val="none"/>
              <w:left w:val="none"/>
              <w:bottom w:val="single" w:color="DFE3E8" w:sz="4"/>
              <w:right w:val="none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6B7684"/>
                <w:sz w:val="170"/>
                <w:szCs w:val="170"/>
              </w:rPr>
              <w:t xml:space="preserve">A fazer</w:t>
            </w:r>
          </w:p>
        </w:tc>
      </w:tr>
      <w:tr>
        <w:tc>
          <w:tcPr>
            <w:tcW w:type="dxa" w:w="4200"/>
            <w:tcBorders>
              <w:top w:val="none"/>
              <w:left w:val="none"/>
              <w:bottom w:val="single" w:color="DFE3E8" w:sz="4"/>
              <w:right w:val="none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2181F"/>
                <w:sz w:val="170"/>
                <w:szCs w:val="170"/>
              </w:rPr>
              <w:t xml:space="preserve">Criar as nove estruturas de destino do Grupo Braga e conduzir as autorizações de acesso</w:t>
            </w:r>
          </w:p>
        </w:tc>
        <w:tc>
          <w:tcPr>
            <w:tcW w:type="dxa" w:w="2500"/>
            <w:tcBorders>
              <w:top w:val="none"/>
              <w:left w:val="none"/>
              <w:bottom w:val="single" w:color="DFE3E8" w:sz="4"/>
              <w:right w:val="none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2181F"/>
                <w:sz w:val="170"/>
                <w:szCs w:val="170"/>
              </w:rPr>
              <w:t xml:space="preserve">Head de IA com o fornecedor da plataforma; acessos com a supervisão de Mídia Paga</w:t>
            </w:r>
          </w:p>
        </w:tc>
        <w:tc>
          <w:tcPr>
            <w:tcW w:type="dxa" w:w="1400"/>
            <w:tcBorders>
              <w:top w:val="none"/>
              <w:left w:val="none"/>
              <w:bottom w:val="single" w:color="DFE3E8" w:sz="4"/>
              <w:right w:val="none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2181F"/>
                <w:sz w:val="170"/>
                <w:szCs w:val="170"/>
              </w:rPr>
              <w:t xml:space="preserve">a definir</w:t>
            </w:r>
          </w:p>
        </w:tc>
        <w:tc>
          <w:tcPr>
            <w:tcW w:type="dxa" w:w="1538"/>
            <w:tcBorders>
              <w:top w:val="none"/>
              <w:left w:val="none"/>
              <w:bottom w:val="single" w:color="DFE3E8" w:sz="4"/>
              <w:right w:val="none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93221F"/>
                <w:sz w:val="170"/>
                <w:szCs w:val="170"/>
              </w:rPr>
              <w:t xml:space="preserve">Bloqueado</w:t>
            </w:r>
          </w:p>
        </w:tc>
      </w:tr>
      <w:tr>
        <w:tc>
          <w:tcPr>
            <w:tcW w:type="dxa" w:w="4200"/>
            <w:tcBorders>
              <w:top w:val="none"/>
              <w:left w:val="none"/>
              <w:bottom w:val="single" w:color="DFE3E8" w:sz="4"/>
              <w:right w:val="none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2181F"/>
                <w:sz w:val="170"/>
                <w:szCs w:val="170"/>
              </w:rPr>
              <w:t xml:space="preserve">Refazer a autorização das três contas do Grupo Unipar com a identidade que tem acesso</w:t>
            </w:r>
          </w:p>
        </w:tc>
        <w:tc>
          <w:tcPr>
            <w:tcW w:type="dxa" w:w="2500"/>
            <w:tcBorders>
              <w:top w:val="none"/>
              <w:left w:val="none"/>
              <w:bottom w:val="single" w:color="DFE3E8" w:sz="4"/>
              <w:right w:val="none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2181F"/>
                <w:sz w:val="170"/>
                <w:szCs w:val="170"/>
              </w:rPr>
              <w:t xml:space="preserve">Head de IA com a supervisão de Mídia Paga</w:t>
            </w:r>
          </w:p>
        </w:tc>
        <w:tc>
          <w:tcPr>
            <w:tcW w:type="dxa" w:w="1400"/>
            <w:tcBorders>
              <w:top w:val="none"/>
              <w:left w:val="none"/>
              <w:bottom w:val="single" w:color="DFE3E8" w:sz="4"/>
              <w:right w:val="none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2181F"/>
                <w:sz w:val="170"/>
                <w:szCs w:val="170"/>
              </w:rPr>
              <w:t xml:space="preserve">a definir</w:t>
            </w:r>
          </w:p>
        </w:tc>
        <w:tc>
          <w:tcPr>
            <w:tcW w:type="dxa" w:w="1538"/>
            <w:tcBorders>
              <w:top w:val="none"/>
              <w:left w:val="none"/>
              <w:bottom w:val="single" w:color="DFE3E8" w:sz="4"/>
              <w:right w:val="none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93221F"/>
                <w:sz w:val="170"/>
                <w:szCs w:val="170"/>
              </w:rPr>
              <w:t xml:space="preserve">Bloqueado</w:t>
            </w:r>
          </w:p>
        </w:tc>
      </w:tr>
      <w:tr>
        <w:tc>
          <w:tcPr>
            <w:tcW w:type="dxa" w:w="4200"/>
            <w:tcBorders>
              <w:top w:val="none"/>
              <w:left w:val="none"/>
              <w:bottom w:val="single" w:color="DFE3E8" w:sz="4"/>
              <w:right w:val="none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2181F"/>
                <w:sz w:val="170"/>
                <w:szCs w:val="170"/>
              </w:rPr>
              <w:t xml:space="preserve">Definir previsibilidade de recarga de créditos da plataforma</w:t>
            </w:r>
          </w:p>
        </w:tc>
        <w:tc>
          <w:tcPr>
            <w:tcW w:type="dxa" w:w="2500"/>
            <w:tcBorders>
              <w:top w:val="none"/>
              <w:left w:val="none"/>
              <w:bottom w:val="single" w:color="DFE3E8" w:sz="4"/>
              <w:right w:val="none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2181F"/>
                <w:sz w:val="170"/>
                <w:szCs w:val="170"/>
              </w:rPr>
              <w:t xml:space="preserve">Área de licenças e pagamentos de plataforma</w:t>
            </w:r>
          </w:p>
        </w:tc>
        <w:tc>
          <w:tcPr>
            <w:tcW w:type="dxa" w:w="1400"/>
            <w:tcBorders>
              <w:top w:val="none"/>
              <w:left w:val="none"/>
              <w:bottom w:val="single" w:color="DFE3E8" w:sz="4"/>
              <w:right w:val="none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2181F"/>
                <w:sz w:val="170"/>
                <w:szCs w:val="170"/>
              </w:rPr>
              <w:t xml:space="preserve">a definir</w:t>
            </w:r>
          </w:p>
        </w:tc>
        <w:tc>
          <w:tcPr>
            <w:tcW w:type="dxa" w:w="1538"/>
            <w:tcBorders>
              <w:top w:val="none"/>
              <w:left w:val="none"/>
              <w:bottom w:val="single" w:color="DFE3E8" w:sz="4"/>
              <w:right w:val="none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6B7684"/>
                <w:sz w:val="170"/>
                <w:szCs w:val="170"/>
              </w:rPr>
              <w:t xml:space="preserve">A decidir</w:t>
            </w:r>
          </w:p>
        </w:tc>
      </w:tr>
      <w:tr>
        <w:tc>
          <w:tcPr>
            <w:tcW w:type="dxa" w:w="4200"/>
            <w:tcBorders>
              <w:top w:val="none"/>
              <w:left w:val="none"/>
              <w:bottom w:val="single" w:color="DFE3E8" w:sz="4"/>
              <w:right w:val="none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2181F"/>
                <w:sz w:val="170"/>
                <w:szCs w:val="170"/>
              </w:rPr>
              <w:t xml:space="preserve">Definir o tratamento de termo de busca para os clientes de saúde</w:t>
            </w:r>
          </w:p>
        </w:tc>
        <w:tc>
          <w:tcPr>
            <w:tcW w:type="dxa" w:w="2500"/>
            <w:tcBorders>
              <w:top w:val="none"/>
              <w:left w:val="none"/>
              <w:bottom w:val="single" w:color="DFE3E8" w:sz="4"/>
              <w:right w:val="none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2181F"/>
                <w:sz w:val="170"/>
                <w:szCs w:val="170"/>
              </w:rPr>
              <w:t xml:space="preserve">Jurídico, com a Head de IA</w:t>
            </w:r>
          </w:p>
        </w:tc>
        <w:tc>
          <w:tcPr>
            <w:tcW w:type="dxa" w:w="1400"/>
            <w:tcBorders>
              <w:top w:val="none"/>
              <w:left w:val="none"/>
              <w:bottom w:val="single" w:color="DFE3E8" w:sz="4"/>
              <w:right w:val="none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2181F"/>
                <w:sz w:val="170"/>
                <w:szCs w:val="170"/>
              </w:rPr>
              <w:t xml:space="preserve">antes da 1ª exposição</w:t>
            </w:r>
          </w:p>
        </w:tc>
        <w:tc>
          <w:tcPr>
            <w:tcW w:type="dxa" w:w="1538"/>
            <w:tcBorders>
              <w:top w:val="none"/>
              <w:left w:val="none"/>
              <w:bottom w:val="single" w:color="DFE3E8" w:sz="4"/>
              <w:right w:val="none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6B7684"/>
                <w:sz w:val="170"/>
                <w:szCs w:val="170"/>
              </w:rPr>
              <w:t xml:space="preserve">A decidir</w:t>
            </w:r>
          </w:p>
        </w:tc>
      </w:tr>
    </w:tbl>
    <w:p>
      <w:pPr>
        <w:spacing w:after="60" w:before="80" w:line="220"/>
      </w:pPr>
      <w:r>
        <w:rPr>
          <w:rFonts w:ascii="Calibri" w:cs="Calibri" w:eastAsia="Calibri" w:hAnsi="Calibri"/>
          <w:color w:val="6B7684"/>
          <w:sz w:val="150"/>
          <w:szCs w:val="150"/>
        </w:rPr>
        <w:t xml:space="preserve">Os donos acima são </w:t>
      </w:r>
      <w:r>
        <w:rPr>
          <w:rFonts w:ascii="Calibri" w:cs="Calibri" w:eastAsia="Calibri" w:hAnsi="Calibri"/>
          <w:b/>
          <w:bCs/>
          <w:color w:val="6B7684"/>
          <w:sz w:val="150"/>
          <w:szCs w:val="150"/>
        </w:rPr>
        <w:t xml:space="preserve">proposta</w:t>
      </w:r>
      <w:r>
        <w:rPr>
          <w:rFonts w:ascii="Calibri" w:cs="Calibri" w:eastAsia="Calibri" w:hAnsi="Calibri"/>
          <w:color w:val="6B7684"/>
          <w:sz w:val="150"/>
          <w:szCs w:val="150"/>
        </w:rPr>
        <w:t xml:space="preserve">, com base no papel de cada área — não há designação formal registrada para estes itens. Confirmar antes de comunicar como compromisso.</w:t>
      </w:r>
    </w:p>
    <w:p>
      <w:pPr>
        <w:pBdr>
          <w:bottom w:val="single" w:color="DFE3E8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0B3A5D"/>
          <w:sz w:val="180"/>
          <w:szCs w:val="180"/>
        </w:rPr>
        <w:t xml:space="preserve">8. RESSALVAS</w:t>
      </w:r>
    </w:p>
    <w:p>
      <w:pPr>
        <w:pStyle w:val="ListParagraph"/>
        <w:numPr>
          <w:ilvl w:val="0"/>
          <w:numId w:val="2"/>
        </w:numPr>
        <w:spacing w:after="70" w:before="0" w:line="260"/>
      </w:pPr>
      <w:r>
        <w:rPr>
          <w:rFonts w:ascii="Calibri" w:cs="Calibri" w:eastAsia="Calibri" w:hAnsi="Calibri"/>
          <w:b/>
          <w:bCs/>
          <w:color w:val="12181F"/>
          <w:sz w:val="200"/>
          <w:szCs w:val="200"/>
        </w:rPr>
        <w:t xml:space="preserve">Os cinco recortes publicados hoje ainda não materializaram.</w:t>
      </w:r>
      <w:r>
        <w:rPr>
          <w:rFonts w:ascii="Calibri" w:cs="Calibri" w:eastAsia="Calibri" w:hAnsi="Calibri"/>
          <w:b w:val="false"/>
          <w:bCs w:val="false"/>
          <w:color w:val="12181F"/>
          <w:sz w:val="200"/>
          <w:szCs w:val="200"/>
        </w:rPr>
        <w:t xml:space="preserve"> Estavam com zero execuções às 12:39 (Manaus) e a primeira carga ocorre no ciclo das 12:43 desta terça. A conferência dos números está agendada para hoje.</w:t>
      </w:r>
    </w:p>
    <w:p>
      <w:pPr>
        <w:pStyle w:val="ListParagraph"/>
        <w:numPr>
          <w:ilvl w:val="0"/>
          <w:numId w:val="2"/>
        </w:numPr>
        <w:spacing w:after="70" w:before="0" w:line="260"/>
      </w:pPr>
      <w:r>
        <w:rPr>
          <w:rFonts w:ascii="Calibri" w:cs="Calibri" w:eastAsia="Calibri" w:hAnsi="Calibri"/>
          <w:b/>
          <w:bCs/>
          <w:color w:val="12181F"/>
          <w:sz w:val="200"/>
          <w:szCs w:val="200"/>
        </w:rPr>
        <w:t xml:space="preserve">A cobertura de Meta na camada de consumo entra no mesmo ciclo.</w:t>
      </w:r>
      <w:r>
        <w:rPr>
          <w:rFonts w:ascii="Calibri" w:cs="Calibri" w:eastAsia="Calibri" w:hAnsi="Calibri"/>
          <w:b w:val="false"/>
          <w:bCs w:val="false"/>
          <w:color w:val="12181F"/>
          <w:sz w:val="200"/>
          <w:szCs w:val="200"/>
        </w:rPr>
        <w:t xml:space="preserve"> O código foi publicado hoje às 10:13 e a tabela ainda continha apenas Google Ads no momento desta emissão.</w:t>
      </w:r>
    </w:p>
    <w:p>
      <w:pPr>
        <w:pStyle w:val="ListParagraph"/>
        <w:numPr>
          <w:ilvl w:val="0"/>
          <w:numId w:val="2"/>
        </w:numPr>
        <w:spacing w:after="70" w:before="0" w:line="260"/>
      </w:pPr>
      <w:r>
        <w:rPr>
          <w:rFonts w:ascii="Calibri" w:cs="Calibri" w:eastAsia="Calibri" w:hAnsi="Calibri"/>
          <w:b/>
          <w:bCs/>
          <w:color w:val="12181F"/>
          <w:sz w:val="200"/>
          <w:szCs w:val="200"/>
        </w:rPr>
        <w:t xml:space="preserve">Os valores de exposição do Grupo Braga e do Grupo Unipar</w:t>
      </w:r>
      <w:r>
        <w:rPr>
          <w:rFonts w:ascii="Calibri" w:cs="Calibri" w:eastAsia="Calibri" w:hAnsi="Calibri"/>
          <w:b w:val="false"/>
          <w:bCs w:val="false"/>
          <w:color w:val="12181F"/>
          <w:sz w:val="200"/>
          <w:szCs w:val="200"/>
        </w:rPr>
        <w:t xml:space="preserve"> vêm do inventário de pendências de 31/08/2026 e não foram remedidos hoje.</w:t>
      </w:r>
    </w:p>
    <w:p>
      <w:pPr>
        <w:pStyle w:val="ListParagraph"/>
        <w:numPr>
          <w:ilvl w:val="0"/>
          <w:numId w:val="2"/>
        </w:numPr>
        <w:spacing w:after="70" w:before="0" w:line="260"/>
      </w:pPr>
      <w:r>
        <w:rPr>
          <w:rFonts w:ascii="Calibri" w:cs="Calibri" w:eastAsia="Calibri" w:hAnsi="Calibri"/>
          <w:b/>
          <w:bCs/>
          <w:color w:val="12181F"/>
          <w:sz w:val="200"/>
          <w:szCs w:val="200"/>
        </w:rPr>
        <w:t xml:space="preserve">A dimensão de conta de Meta é uma fotografia congelada</w:t>
      </w:r>
      <w:r>
        <w:rPr>
          <w:rFonts w:ascii="Calibri" w:cs="Calibri" w:eastAsia="Calibri" w:hAnsi="Calibri"/>
          <w:b w:val="false"/>
          <w:bCs w:val="false"/>
          <w:color w:val="12181F"/>
          <w:sz w:val="200"/>
          <w:szCs w:val="200"/>
        </w:rPr>
        <w:t xml:space="preserve"> de 26/08/2026, tirada de uma fonte que foi excluída. Nome de conta, moeda e fuso do lado Meta não se atualizam sozinhos, e isso está declarado na própria tabela.</w:t>
      </w:r>
    </w:p>
    <w:p>
      <w:pPr>
        <w:pStyle w:val="ListParagraph"/>
        <w:numPr>
          <w:ilvl w:val="0"/>
          <w:numId w:val="2"/>
        </w:numPr>
        <w:spacing w:after="70" w:before="0" w:line="260"/>
      </w:pPr>
      <w:r>
        <w:rPr>
          <w:rFonts w:ascii="Calibri" w:cs="Calibri" w:eastAsia="Calibri" w:hAnsi="Calibri"/>
          <w:b/>
          <w:bCs/>
          <w:color w:val="12181F"/>
          <w:sz w:val="200"/>
          <w:szCs w:val="200"/>
        </w:rPr>
        <w:t xml:space="preserve">Sete contas de Meta estão em quatro fusos horários diferentes.</w:t>
      </w:r>
      <w:r>
        <w:rPr>
          <w:rFonts w:ascii="Calibri" w:cs="Calibri" w:eastAsia="Calibri" w:hAnsi="Calibri"/>
          <w:b w:val="false"/>
          <w:bCs w:val="false"/>
          <w:color w:val="12181F"/>
          <w:sz w:val="200"/>
          <w:szCs w:val="200"/>
        </w:rPr>
        <w:t xml:space="preserve"> “Dia” não significa exatamente a mesma coisa entre elas. Não é corrigível com a extração atual; a coluna de fuso declara qual se aplica a cada linha.</w:t>
      </w:r>
    </w:p>
    <w:p>
      <w:pPr>
        <w:pStyle w:val="ListParagraph"/>
        <w:numPr>
          <w:ilvl w:val="0"/>
          <w:numId w:val="2"/>
        </w:numPr>
        <w:spacing w:after="70" w:before="0" w:line="260"/>
      </w:pPr>
      <w:r>
        <w:rPr>
          <w:rFonts w:ascii="Calibri" w:cs="Calibri" w:eastAsia="Calibri" w:hAnsi="Calibri"/>
          <w:b/>
          <w:bCs/>
          <w:color w:val="12181F"/>
          <w:sz w:val="200"/>
          <w:szCs w:val="200"/>
        </w:rPr>
        <w:t xml:space="preserve">Uma inconsistência de medição foi encontrada e corrigida nesta data:</w:t>
      </w:r>
      <w:r>
        <w:rPr>
          <w:rFonts w:ascii="Calibri" w:cs="Calibri" w:eastAsia="Calibri" w:hAnsi="Calibri"/>
          <w:b w:val="false"/>
          <w:bCs w:val="false"/>
          <w:color w:val="12181F"/>
          <w:sz w:val="200"/>
          <w:szCs w:val="200"/>
        </w:rPr>
        <w:t xml:space="preserve"> totais de verba publicados hoje mais cedo somavam reais e dólares na mesma cifra. Os percentuais praticamente não se alteraram — a cobertura demográfica passou de 80,2% para 80,0% — mas os valores absolutos foram refeitos por moeda e a documentação corrigida, com registro do que a versão anterior afirmava.</w:t>
      </w:r>
    </w:p>
    <w:p>
      <w:pPr>
        <w:pBdr>
          <w:top w:val="single" w:color="DFE3E8" w:sz="6" w:space="8"/>
        </w:pBdr>
        <w:spacing w:after="0" w:before="300" w:line="230"/>
      </w:pPr>
      <w:r>
        <w:rPr>
          <w:rFonts w:ascii="Calibri" w:cs="Calibri" w:eastAsia="Calibri" w:hAnsi="Calibri"/>
          <w:color w:val="6B7684"/>
          <w:sz w:val="150"/>
          <w:szCs w:val="150"/>
        </w:rPr>
        <w:t xml:space="preserve">Documento gerado em 08/09/2026 a partir de consulta direta às tabelas em produção da plataforma Nekt e ao inventário de pendências versionado no repositório do projeto. Todos os valores desta página são resultado de medição registrada, não de estimativa. Detalhamento técnico, consultas de verificação e histórico de correções em docs/nekt/, repositório Agentes_Claude_mcp, ramo claude/reconectar-nekt-osv23g.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rFonts w:ascii="Calibri" w:cs="Calibri" w:eastAsia="Calibri" w:hAnsi="Calibri"/>
        <w:color w:val="6B7684"/>
        <w:sz w:val="150"/>
        <w:szCs w:val="150"/>
      </w:rPr>
      <w:t xml:space="preserve">Vanguarda MarTech · Relatório executivo · 08/09/2026</w:t>
    </w:r>
    <w:r>
      <w:rPr>
        <w:rFonts w:ascii="Calibri" w:cs="Calibri" w:eastAsia="Calibri" w:hAnsi="Calibri"/>
        <w:color w:val="12181F"/>
        <w:sz w:val="150"/>
        <w:szCs w:val="150"/>
      </w:rPr>
      <w:t xml:space="preserve">	</w:t>
    </w:r>
    <w:r>
      <w:rPr>
        <w:rFonts w:ascii="Calibri" w:cs="Calibri" w:eastAsia="Calibri" w:hAnsi="Calibri"/>
        <w:color w:val="6B7684"/>
        <w:sz w:val="150"/>
        <w:szCs w:val="150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Arquitetura de dados Nekt: pilotos validados e camadas Trusted e Refined em produção</dc:title>
  <dc:creator>Head de Inteligência Artificial — Vanguarda MarTech</dc:creator>
  <dc:description>Relatório executivo para a Diretoria Executiva — 08/09/2026</dc:description>
  <cp:lastModifiedBy>Un-named</cp:lastModifiedBy>
  <cp:revision>1</cp:revision>
  <dcterms:created xsi:type="dcterms:W3CDTF">2026-09-08T17:12:56.216Z</dcterms:created>
  <dcterms:modified xsi:type="dcterms:W3CDTF">2026-09-08T17:12:56.216Z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