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  <w:r>
        <w:rPr>
          <w:rFonts w:ascii="Aptos" w:hAnsi="Aptos"/>
          <w:b/>
          <w:color w:val="6B173C"/>
          <w:sz w:val="44"/>
        </w:rPr>
        <w:t>Manifesto de integridade e publicação</w:t>
      </w:r>
    </w:p>
    <w:p>
      <w:r>
        <w:rPr>
          <w:rFonts w:ascii="Aptos" w:hAnsi="Aptos"/>
          <w:color w:val="222222"/>
          <w:sz w:val="22"/>
        </w:rPr>
        <w:t>Hashes SHA-256 dos textos Markdown definitivos. O hash de consentimento do sistema deve ser recalculado sobre o texto exato efetivamente publicado.</w:t>
      </w:r>
    </w:p>
    <w:p>
      <w:pPr>
        <w:pStyle w:val="ListBullet"/>
      </w:pPr>
      <w:r>
        <w:rPr>
          <w:rFonts w:ascii="Aptos" w:hAnsi="Aptos"/>
          <w:color w:val="5A2340"/>
          <w:sz w:val="19"/>
        </w:rPr>
        <w:t>Veleda_Termos_de_Uso_v2.3_DEFINITIVO.md</w:t>
      </w:r>
      <w:r>
        <w:rPr>
          <w:rFonts w:ascii="Aptos" w:hAnsi="Aptos"/>
          <w:color w:val="222222"/>
          <w:sz w:val="22"/>
        </w:rPr>
        <w:t xml:space="preserve">: </w:t>
      </w:r>
      <w:r>
        <w:rPr>
          <w:rFonts w:ascii="Aptos" w:hAnsi="Aptos"/>
          <w:color w:val="5A2340"/>
          <w:sz w:val="19"/>
        </w:rPr>
        <w:t>b1e7ac76f4229d358df62c929cedf7fc0b2e5a92288bc732e96194a1f4c839c8</w:t>
      </w:r>
    </w:p>
    <w:p>
      <w:pPr>
        <w:pStyle w:val="ListBullet"/>
      </w:pPr>
      <w:r>
        <w:rPr>
          <w:rFonts w:ascii="Aptos" w:hAnsi="Aptos"/>
          <w:color w:val="5A2340"/>
          <w:sz w:val="19"/>
        </w:rPr>
        <w:t>Veleda_Politica_de_Privacidade_v2.4_DEFINITIVA.md</w:t>
      </w:r>
      <w:r>
        <w:rPr>
          <w:rFonts w:ascii="Aptos" w:hAnsi="Aptos"/>
          <w:color w:val="222222"/>
          <w:sz w:val="22"/>
        </w:rPr>
        <w:t xml:space="preserve">: </w:t>
      </w:r>
      <w:r>
        <w:rPr>
          <w:rFonts w:ascii="Aptos" w:hAnsi="Aptos"/>
          <w:color w:val="5A2340"/>
          <w:sz w:val="19"/>
        </w:rPr>
        <w:t>09e13d2f57b033c8626dd0bcfa004226f4a6143df8320a56b9be77a10d92d79d</w:t>
      </w:r>
    </w:p>
    <w:p>
      <w:pPr>
        <w:pStyle w:val="ListBullet"/>
      </w:pPr>
      <w:r>
        <w:rPr>
          <w:rFonts w:ascii="Aptos" w:hAnsi="Aptos"/>
          <w:color w:val="5A2340"/>
          <w:sz w:val="19"/>
        </w:rPr>
        <w:t>Veleda_Subprocessadores_v2.3_DEFINITIVO.md</w:t>
      </w:r>
      <w:r>
        <w:rPr>
          <w:rFonts w:ascii="Aptos" w:hAnsi="Aptos"/>
          <w:color w:val="222222"/>
          <w:sz w:val="22"/>
        </w:rPr>
        <w:t xml:space="preserve">: </w:t>
      </w:r>
      <w:r>
        <w:rPr>
          <w:rFonts w:ascii="Aptos" w:hAnsi="Aptos"/>
          <w:color w:val="5A2340"/>
          <w:sz w:val="19"/>
        </w:rPr>
        <w:t>2fdbe8b53d8c9815d03af05e8990442ed4d5968c3e3419dbe3602001d54cb63e</w:t>
      </w:r>
    </w:p>
    <w:p>
      <w:pPr>
        <w:pStyle w:val="ListBullet"/>
      </w:pPr>
      <w:r>
        <w:rPr>
          <w:rFonts w:ascii="Aptos" w:hAnsi="Aptos"/>
          <w:color w:val="5A2340"/>
          <w:sz w:val="19"/>
        </w:rPr>
        <w:t>Veleda_Aviso_Interface_IA_v1.0_DEFINITIVO.md</w:t>
      </w:r>
      <w:r>
        <w:rPr>
          <w:rFonts w:ascii="Aptos" w:hAnsi="Aptos"/>
          <w:color w:val="222222"/>
          <w:sz w:val="22"/>
        </w:rPr>
        <w:t xml:space="preserve">: </w:t>
      </w:r>
      <w:r>
        <w:rPr>
          <w:rFonts w:ascii="Aptos" w:hAnsi="Aptos"/>
          <w:color w:val="5A2340"/>
          <w:sz w:val="19"/>
        </w:rPr>
        <w:t>2f8f1edc82b04e2916632c46939de37ca856907348f65580af3e4a39fbe447cd</w:t>
      </w:r>
    </w:p>
    <w:p>
      <w:pPr>
        <w:pStyle w:val="ListBullet"/>
      </w:pPr>
      <w:r>
        <w:rPr>
          <w:rFonts w:ascii="Aptos" w:hAnsi="Aptos"/>
          <w:color w:val="5A2340"/>
          <w:sz w:val="19"/>
        </w:rPr>
        <w:t>Veleda_Declaracao_Direcao_Criativa_DEFINITIVA.md</w:t>
      </w:r>
      <w:r>
        <w:rPr>
          <w:rFonts w:ascii="Aptos" w:hAnsi="Aptos"/>
          <w:color w:val="222222"/>
          <w:sz w:val="22"/>
        </w:rPr>
        <w:t xml:space="preserve">: </w:t>
      </w:r>
      <w:r>
        <w:rPr>
          <w:rFonts w:ascii="Aptos" w:hAnsi="Aptos"/>
          <w:color w:val="5A2340"/>
          <w:sz w:val="19"/>
        </w:rPr>
        <w:t>020e8ab6e51767617828a0f88ef1c9e7c6a1b106af7742c258d2a3c6f199f679</w:t>
      </w:r>
    </w:p>
    <w:p>
      <w:pPr>
        <w:pStyle w:val="ListBullet"/>
      </w:pPr>
      <w:r>
        <w:rPr>
          <w:rFonts w:ascii="Aptos" w:hAnsi="Aptos"/>
          <w:color w:val="5A2340"/>
          <w:sz w:val="19"/>
        </w:rPr>
        <w:t>Veleda_RIPD_DPIA_v1.0_DEFINITIVO.md</w:t>
      </w:r>
      <w:r>
        <w:rPr>
          <w:rFonts w:ascii="Aptos" w:hAnsi="Aptos"/>
          <w:color w:val="222222"/>
          <w:sz w:val="22"/>
        </w:rPr>
        <w:t xml:space="preserve">: </w:t>
      </w:r>
      <w:r>
        <w:rPr>
          <w:rFonts w:ascii="Aptos" w:hAnsi="Aptos"/>
          <w:color w:val="5A2340"/>
          <w:sz w:val="19"/>
        </w:rPr>
        <w:t>da227f81499e2ec310907e89ac470250c4834b326cbd80889a89226c71cde9f1</w:t>
      </w:r>
    </w:p>
    <w:p>
      <w:pPr>
        <w:pStyle w:val="ListBullet"/>
      </w:pPr>
      <w:r>
        <w:rPr>
          <w:rFonts w:ascii="Aptos" w:hAnsi="Aptos"/>
          <w:color w:val="5A2340"/>
          <w:sz w:val="19"/>
        </w:rPr>
        <w:t>Veleda_Dossie_Resposta_Juridica_DEFINITIVO.md</w:t>
      </w:r>
      <w:r>
        <w:rPr>
          <w:rFonts w:ascii="Aptos" w:hAnsi="Aptos"/>
          <w:color w:val="222222"/>
          <w:sz w:val="22"/>
        </w:rPr>
        <w:t xml:space="preserve">: </w:t>
      </w:r>
      <w:r>
        <w:rPr>
          <w:rFonts w:ascii="Aptos" w:hAnsi="Aptos"/>
          <w:color w:val="5A2340"/>
          <w:sz w:val="19"/>
        </w:rPr>
        <w:t>bc5a21f24c66a009af98f0f5530dde65f33c1af17244f37bad2e4b54b10425f4</w:t>
      </w:r>
    </w:p>
    <w:p>
      <w:pPr>
        <w:pStyle w:val="ListBullet"/>
      </w:pPr>
      <w:r>
        <w:rPr>
          <w:rFonts w:ascii="Aptos" w:hAnsi="Aptos"/>
          <w:color w:val="5A2340"/>
          <w:sz w:val="19"/>
        </w:rPr>
        <w:t>Veleda_Declaracao_Checkout_EEE_v1.0_DEFINITIVA.md</w:t>
      </w:r>
      <w:r>
        <w:rPr>
          <w:rFonts w:ascii="Aptos" w:hAnsi="Aptos"/>
          <w:color w:val="222222"/>
          <w:sz w:val="22"/>
        </w:rPr>
        <w:t xml:space="preserve">: </w:t>
      </w:r>
      <w:r>
        <w:rPr>
          <w:rFonts w:ascii="Aptos" w:hAnsi="Aptos"/>
          <w:color w:val="5A2340"/>
          <w:sz w:val="19"/>
        </w:rPr>
        <w:t>5acf094004c9db68f0475fdba3ddd2b12ad47da0e7cb590fb9160c2ea4126f65</w:t>
      </w:r>
    </w:p>
    <w:p>
      <w:pPr>
        <w:pStyle w:val="Heading2"/>
      </w:pPr>
      <w:r>
        <w:t>Controle de publicação</w:t>
      </w:r>
    </w:p>
    <w:p>
      <w:pPr>
        <w:pStyle w:val="ListBullet"/>
      </w:pPr>
      <w:r>
        <w:rPr>
          <w:rFonts w:ascii="Aptos" w:hAnsi="Aptos"/>
          <w:color w:val="222222"/>
          <w:sz w:val="22"/>
        </w:rPr>
        <w:t>Termos 2.3 e Privacidade 2.4 exigem novo hash e reaceite de todos os Usuários.</w:t>
      </w:r>
    </w:p>
    <w:p>
      <w:pPr>
        <w:pStyle w:val="ListBullet"/>
      </w:pPr>
      <w:r>
        <w:rPr>
          <w:rFonts w:ascii="Aptos" w:hAnsi="Aptos"/>
          <w:color w:val="222222"/>
          <w:sz w:val="22"/>
        </w:rPr>
        <w:t>Subprocessadores 2.3 é documento informativo; comunicar alteração material conforme a Política.</w:t>
      </w:r>
    </w:p>
    <w:p>
      <w:pPr>
        <w:pStyle w:val="ListBullet"/>
      </w:pPr>
      <w:r>
        <w:rPr>
          <w:rFonts w:ascii="Aptos" w:hAnsi="Aptos"/>
          <w:color w:val="222222"/>
          <w:sz w:val="22"/>
        </w:rPr>
        <w:t>Registrar o aceite da declaração do checkout EEE separadamente, com versão, hash e data/hora do servidor.</w:t>
      </w:r>
    </w:p>
    <w:p>
      <w:pPr>
        <w:pStyle w:val="ListBullet"/>
      </w:pPr>
      <w:r>
        <w:rPr>
          <w:rFonts w:ascii="Aptos" w:hAnsi="Aptos"/>
          <w:color w:val="222222"/>
          <w:sz w:val="22"/>
        </w:rPr>
        <w:t>O aviso de interface deve ser exibido antes do envio da pergunta.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Veleda Tarô Simbólico · 13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777777"/>
        <w:sz w:val="16"/>
      </w:rPr>
      <w:t>VELEDA  |  DOCUMENTAÇÃO JURÍDICA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A5A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6B17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