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Aviso de interface sobre dados pessoais e uso de IA</w:t>
      </w:r>
    </w:p>
    <w:p>
      <w:r>
        <w:rPr>
          <w:rFonts w:ascii="Aptos" w:hAnsi="Aptos"/>
          <w:color w:val="222222"/>
          <w:sz w:val="22"/>
        </w:rPr>
        <w:t>Evite incluir na pergunta nomes completos, documentos ou dados de terceiros. A pergunta e as cartas são enviadas ao fornecedor de IA sem nome, e-mail ou identificadores da sua conta, exclusivamente para gerar a leitura.</w:t>
      </w:r>
    </w:p>
    <w:p>
      <w:r>
        <w:rPr>
          <w:rFonts w:ascii="Aptos" w:hAnsi="Aptos"/>
          <w:color w:val="222222"/>
          <w:sz w:val="22"/>
        </w:rPr>
        <w:t>Versão: 1.0  |  Data: 13 de agosto de 2026  |  Idioma: português do Brasil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