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Aptos" w:hAnsi="Aptos"/>
          <w:b/>
          <w:color w:val="6B173C"/>
          <w:sz w:val="44"/>
        </w:rPr>
        <w:t>Veleda — Dossiê definitivo de resposta à revisão jurídica (agosto/2026)</w:t>
      </w:r>
    </w:p>
    <w:p>
      <w:r>
        <w:rPr>
          <w:rFonts w:ascii="Aptos" w:hAnsi="Aptos"/>
          <w:color w:val="222222"/>
          <w:sz w:val="22"/>
        </w:rPr>
        <w:t>Resposta definitiva, ponto por ponto (A–I), às observações da revisão jurídica de 13/08/2026. O presente dossiê consolida a situação técnica verificada, as decisões adotadas e os documentos finais produzidos. As versões anteriores permanecem apenas como histórico.</w:t>
      </w:r>
    </w:p>
    <w:p>
      <w:pPr>
        <w:spacing w:after="120"/>
      </w:pPr>
    </w:p>
    <w:p>
      <w:pPr>
        <w:pStyle w:val="Heading2"/>
      </w:pPr>
      <w:r>
        <w:t>A) Responsabilidade pela operação</w:t>
      </w:r>
    </w:p>
    <w:p>
      <w:r>
        <w:rPr>
          <w:rFonts w:ascii="Aptos" w:hAnsi="Aptos"/>
          <w:b/>
          <w:color w:val="222222"/>
          <w:sz w:val="22"/>
        </w:rPr>
        <w:t>Verificado:</w:t>
      </w:r>
      <w:r>
        <w:rPr>
          <w:rFonts w:ascii="Aptos" w:hAnsi="Aptos"/>
          <w:color w:val="222222"/>
          <w:sz w:val="22"/>
        </w:rPr>
        <w:t xml:space="preserve"> os documentos publicados identificam a operadora como pessoa singular (Jussara Derly Rodrigues de Oliveira Grota, NIF 302020250, Ericeira). O sistema suporta mudança de entidade: republicar os legais com nova versão força reaceite provado de todos os utilizadores.</w:t>
      </w:r>
    </w:p>
    <w:p>
      <w:r>
        <w:rPr>
          <w:rFonts w:ascii="Aptos" w:hAnsi="Aptos"/>
          <w:b/>
          <w:color w:val="222222"/>
          <w:sz w:val="22"/>
        </w:rPr>
        <w:t>Decisão adotada:</w:t>
      </w:r>
      <w:r>
        <w:rPr>
          <w:rFonts w:ascii="Aptos" w:hAnsi="Aptos"/>
          <w:color w:val="222222"/>
          <w:sz w:val="22"/>
        </w:rPr>
        <w:t xml:space="preserve"> a operação permanece, nesta fase, em nome da pessoa singular identificada nos documentos. Qualquer futura passagem para sociedade unipessoal por quotas dependerá de instrumento escrito de transferência ou licença dos ativos e de atualização dos documentos, contratos, faturação e contas dos fornecedores.</w:t>
      </w:r>
    </w:p>
    <w:p>
      <w:pPr>
        <w:pStyle w:val="Heading2"/>
      </w:pPr>
      <w:r>
        <w:t>B) Proteção de dados e IA — minimização</w:t>
      </w:r>
    </w:p>
    <w:p>
      <w:r>
        <w:rPr>
          <w:rFonts w:ascii="Aptos" w:hAnsi="Aptos"/>
          <w:b/>
          <w:color w:val="222222"/>
          <w:sz w:val="22"/>
        </w:rPr>
        <w:t>Verificado:</w:t>
      </w:r>
      <w:r>
        <w:rPr>
          <w:rFonts w:ascii="Aptos" w:hAnsi="Aptos"/>
          <w:color w:val="222222"/>
          <w:sz w:val="22"/>
        </w:rPr>
        <w:t xml:space="preserve"> a IA recebe </w:t>
      </w:r>
      <w:r>
        <w:rPr>
          <w:rFonts w:ascii="Aptos" w:hAnsi="Aptos"/>
          <w:b/>
          <w:color w:val="222222"/>
          <w:sz w:val="22"/>
        </w:rPr>
        <w:t>apenas</w:t>
      </w:r>
      <w:r>
        <w:rPr>
          <w:rFonts w:ascii="Aptos" w:hAnsi="Aptos"/>
          <w:color w:val="222222"/>
          <w:sz w:val="22"/>
        </w:rPr>
        <w:t xml:space="preserve"> pergunta + 3 cartas + instruções fixas + idioma. Nunca recebe nome, e-mail, ID, diário, histórico ou pagamento. O diário nunca sai do Supabase (UE). A pergunta não aparece em logs. Anti prompt-injection na entrada e saída. Deteção de crise local (sem terceiros) com recursos de apoio por país. Aviso fixo antes do envio e no fim de cada leitura. Perguntas compostas bloqueadas.</w:t>
      </w:r>
    </w:p>
    <w:p>
      <w:r>
        <w:rPr>
          <w:rFonts w:ascii="Aptos" w:hAnsi="Aptos"/>
          <w:b/>
          <w:color w:val="222222"/>
          <w:sz w:val="22"/>
        </w:rPr>
        <w:t>Texto definitivo do aviso de interface:</w:t>
      </w:r>
    </w:p>
    <w:p>
      <w:pPr>
        <w:spacing w:before="80" w:after="140"/>
        <w:ind w:left="360" w:right="216"/>
      </w:pPr>
      <w:r>
        <w:rPr>
          <w:rFonts w:ascii="Aptos" w:hAnsi="Aptos"/>
          <w:i/>
          <w:color w:val="5A2340"/>
          <w:sz w:val="22"/>
        </w:rPr>
        <w:t>"Evite incluir na pergunta nomes completos, documentos ou dados de</w:t>
      </w:r>
    </w:p>
    <w:p>
      <w:pPr>
        <w:spacing w:before="80" w:after="140"/>
        <w:ind w:left="360" w:right="216"/>
      </w:pPr>
      <w:r>
        <w:rPr>
          <w:rFonts w:ascii="Aptos" w:hAnsi="Aptos"/>
          <w:i/>
          <w:color w:val="5A2340"/>
          <w:sz w:val="22"/>
        </w:rPr>
        <w:t>terceiros. A pergunta é enviada de forma anónima ao fornecedor de IA apenas</w:t>
      </w:r>
    </w:p>
    <w:p>
      <w:pPr>
        <w:spacing w:before="80" w:after="140"/>
        <w:ind w:left="360" w:right="216"/>
      </w:pPr>
      <w:r>
        <w:rPr>
          <w:rFonts w:ascii="Aptos" w:hAnsi="Aptos"/>
          <w:i/>
          <w:color w:val="5A2340"/>
          <w:sz w:val="22"/>
        </w:rPr>
        <w:t>para gerar a sua leitura."</w:t>
      </w:r>
    </w:p>
    <w:p>
      <w:r>
        <w:rPr>
          <w:rFonts w:ascii="Aptos" w:hAnsi="Aptos"/>
          <w:b/>
          <w:color w:val="222222"/>
          <w:sz w:val="22"/>
        </w:rPr>
        <w:t>Redação incorporada à Política de Privacidade 2.4:</w:t>
      </w:r>
      <w:r>
        <w:rPr>
          <w:rFonts w:ascii="Aptos" w:hAnsi="Aptos"/>
          <w:color w:val="222222"/>
          <w:sz w:val="22"/>
        </w:rPr>
        <w:t xml:space="preserve"> A pergunta é transmitida ao fornecedor de inteligência artificial sem nome, e-mail ou identificador da conta. Segundo as condições aplicáveis ao serviço comercial, esses conteúdos não são utilizados, por padrão, para treinamento geral dos modelos e são conservados e eliminados conforme os prazos e condições do serviço contratado.</w:t>
      </w:r>
    </w:p>
    <w:p>
      <w:pPr>
        <w:pStyle w:val="Heading2"/>
      </w:pPr>
      <w:r>
        <w:t>C) Fornecedores e transferências internacionais</w:t>
      </w:r>
    </w:p>
    <w:p>
      <w:r>
        <w:rPr>
          <w:rFonts w:ascii="Aptos" w:hAnsi="Aptos"/>
          <w:b/>
          <w:color w:val="222222"/>
          <w:sz w:val="22"/>
        </w:rPr>
        <w:t>Verificado:</w:t>
      </w:r>
      <w:r>
        <w:rPr>
          <w:rFonts w:ascii="Aptos" w:hAnsi="Aptos"/>
          <w:color w:val="222222"/>
          <w:sz w:val="22"/>
        </w:rPr>
        <w:t xml:space="preserve"> cinco fornecedores em uso — Supabase (UE-Irlanda; dados primários), Anthropic (EUA; payload minimizado), Stripe (EEE/EUA; pagamentos), Vercel (EUA; hospedagem + analytics anónimo sem cookies), Resend (EUA; e-mails de autenticação). Todos oferecem DPA com SCCs/DPF (links na pasta C).</w:t>
      </w:r>
    </w:p>
    <w:p>
      <w:r>
        <w:rPr>
          <w:rFonts w:ascii="Aptos" w:hAnsi="Aptos"/>
          <w:b/>
          <w:color w:val="222222"/>
          <w:sz w:val="22"/>
        </w:rPr>
        <w:t>Lacuna corrigida na versão definitiva:</w:t>
      </w:r>
      <w:r>
        <w:rPr>
          <w:rFonts w:ascii="Aptos" w:hAnsi="Aptos"/>
          <w:color w:val="222222"/>
          <w:sz w:val="22"/>
        </w:rPr>
        <w:t xml:space="preserve"> o </w:t>
      </w:r>
      <w:r>
        <w:rPr>
          <w:rFonts w:ascii="Aptos" w:hAnsi="Aptos"/>
          <w:b/>
          <w:color w:val="222222"/>
          <w:sz w:val="22"/>
        </w:rPr>
        <w:t>Resend não consta da página /subprocessadores</w:t>
      </w:r>
      <w:r>
        <w:rPr>
          <w:rFonts w:ascii="Aptos" w:hAnsi="Aptos"/>
          <w:color w:val="222222"/>
          <w:sz w:val="22"/>
        </w:rPr>
        <w:t xml:space="preserve"> (entrou em uso a 31/07, após a versão publicada). </w:t>
      </w:r>
      <w:r>
        <w:rPr>
          <w:rFonts w:ascii="Aptos" w:hAnsi="Aptos"/>
          <w:b/>
          <w:color w:val="222222"/>
          <w:sz w:val="22"/>
        </w:rPr>
        <w:t>Linha incorporada aos Subprocessadores 2.3:</w:t>
      </w:r>
    </w:p>
    <w:p>
      <w:pPr>
        <w:spacing w:before="80" w:after="140"/>
        <w:ind w:left="360" w:right="216"/>
      </w:pPr>
      <w:r>
        <w:rPr>
          <w:rFonts w:ascii="Aptos" w:hAnsi="Aptos"/>
          <w:b/>
          <w:i/>
          <w:color w:val="5A2340"/>
          <w:sz w:val="22"/>
        </w:rPr>
        <w:t>Resend, Inc.</w:t>
      </w:r>
      <w:r>
        <w:rPr>
          <w:rFonts w:ascii="Aptos" w:hAnsi="Aptos"/>
          <w:i/>
          <w:color w:val="5A2340"/>
          <w:sz w:val="22"/>
        </w:rPr>
        <w:t xml:space="preserve"> — Envio de e-mails transacionais de autenticação</w:t>
      </w:r>
    </w:p>
    <w:p>
      <w:pPr>
        <w:spacing w:before="80" w:after="140"/>
        <w:ind w:left="360" w:right="216"/>
      </w:pPr>
      <w:r>
        <w:rPr>
          <w:rFonts w:ascii="Aptos" w:hAnsi="Aptos"/>
          <w:i/>
          <w:color w:val="5A2340"/>
          <w:sz w:val="22"/>
        </w:rPr>
        <w:t>(recuperação de senha, confirmações de conta). — E-mail do destinatário,</w:t>
      </w:r>
    </w:p>
    <w:p>
      <w:pPr>
        <w:spacing w:before="80" w:after="140"/>
        <w:ind w:left="360" w:right="216"/>
      </w:pPr>
      <w:r>
        <w:rPr>
          <w:rFonts w:ascii="Aptos" w:hAnsi="Aptos"/>
          <w:i/>
          <w:color w:val="5A2340"/>
          <w:sz w:val="22"/>
        </w:rPr>
        <w:t>conteúdo da mensagem transacional e metadados de entrega. — Estados Unidos</w:t>
      </w:r>
    </w:p>
    <w:p>
      <w:pPr>
        <w:spacing w:before="80" w:after="140"/>
        <w:ind w:left="360" w:right="216"/>
      </w:pPr>
      <w:r>
        <w:rPr>
          <w:rFonts w:ascii="Aptos" w:hAnsi="Aptos"/>
          <w:i/>
          <w:color w:val="5A2340"/>
          <w:sz w:val="22"/>
        </w:rPr>
        <w:t>e infraestrutura indicada pelo fornecedor.</w:t>
      </w:r>
    </w:p>
    <w:p>
      <w:r>
        <w:rPr>
          <w:rFonts w:ascii="Aptos" w:hAnsi="Aptos"/>
          <w:b/>
          <w:color w:val="222222"/>
          <w:sz w:val="22"/>
        </w:rPr>
        <w:t>Ação da Jussara + advogada:</w:t>
      </w:r>
      <w:r>
        <w:rPr>
          <w:rFonts w:ascii="Aptos" w:hAnsi="Aptos"/>
          <w:color w:val="222222"/>
          <w:sz w:val="22"/>
        </w:rPr>
        <w:t xml:space="preserve"> arquivar cópia datada dos DPAs dos cinco.</w:t>
      </w:r>
    </w:p>
    <w:p>
      <w:pPr>
        <w:pStyle w:val="Heading2"/>
      </w:pPr>
      <w:r>
        <w:t>D) Anthropic / Claude</w:t>
      </w:r>
    </w:p>
    <w:p>
      <w:r>
        <w:rPr>
          <w:rFonts w:ascii="Aptos" w:hAnsi="Aptos"/>
          <w:b/>
          <w:color w:val="222222"/>
          <w:sz w:val="22"/>
        </w:rPr>
        <w:t>Verificado (técnico):</w:t>
      </w:r>
      <w:r>
        <w:rPr>
          <w:rFonts w:ascii="Aptos" w:hAnsi="Aptos"/>
          <w:color w:val="222222"/>
          <w:sz w:val="22"/>
        </w:rPr>
        <w:t xml:space="preserve"> API comercial (não o Claude.ai de consumidor); payload mínimo sem identificadores; sem feedback enviado ao fornecedor.</w:t>
      </w:r>
    </w:p>
    <w:p>
      <w:r>
        <w:rPr>
          <w:rFonts w:ascii="Aptos" w:hAnsi="Aptos"/>
          <w:b/>
          <w:color w:val="222222"/>
          <w:sz w:val="22"/>
        </w:rPr>
        <w:t>Verificado (contratual, fontes oficiais):</w:t>
      </w:r>
      <w:r>
        <w:rPr>
          <w:rFonts w:ascii="Aptos" w:hAnsi="Aptos"/>
          <w:color w:val="222222"/>
          <w:sz w:val="22"/>
        </w:rPr>
        <w:t xml:space="preserve"> por padrão a Anthropic </w:t>
      </w:r>
      <w:r>
        <w:rPr>
          <w:rFonts w:ascii="Aptos" w:hAnsi="Aptos"/>
          <w:b/>
          <w:color w:val="222222"/>
          <w:sz w:val="22"/>
        </w:rPr>
        <w:t>não usa inputs/outputs da API para treinar modelos</w:t>
      </w:r>
      <w:r>
        <w:rPr>
          <w:rFonts w:ascii="Aptos" w:hAnsi="Aptos"/>
          <w:color w:val="222222"/>
          <w:sz w:val="22"/>
        </w:rPr>
        <w:t xml:space="preserve"> (</w:t>
      </w:r>
      <w:r>
        <w:rPr>
          <w:rFonts w:ascii="Aptos" w:hAnsi="Aptos"/>
          <w:color w:val="222222"/>
          <w:sz w:val="22"/>
        </w:rPr>
        <w:t>https://privacy.claude.com/en/articles/7996868-is-my-data-used-for-model-training);</w:t>
      </w:r>
      <w:r>
        <w:rPr>
          <w:rFonts w:ascii="Aptos" w:hAnsi="Aptos"/>
          <w:color w:val="222222"/>
          <w:sz w:val="22"/>
        </w:rPr>
        <w:t xml:space="preserve"> retenção e eliminação segundo as condições aplicáveis ao serviço comercial contratado; a opção Zero Data Retention pode ser disponibilizada por acordo (</w:t>
      </w:r>
      <w:r>
        <w:rPr>
          <w:rFonts w:ascii="Aptos" w:hAnsi="Aptos"/>
          <w:color w:val="222222"/>
          <w:sz w:val="22"/>
        </w:rPr>
        <w:t>https://www.anthropic.com/legal/commercial-terms).</w:t>
      </w:r>
    </w:p>
    <w:p>
      <w:r>
        <w:rPr>
          <w:rFonts w:ascii="Aptos" w:hAnsi="Aptos"/>
          <w:b/>
          <w:color w:val="222222"/>
          <w:sz w:val="22"/>
        </w:rPr>
        <w:t>Redação incorporada à Política de Privacidade 2.4:</w:t>
      </w:r>
    </w:p>
    <w:p>
      <w:pPr>
        <w:spacing w:before="80" w:after="140"/>
        <w:ind w:left="360" w:right="216"/>
      </w:pPr>
      <w:r>
        <w:rPr>
          <w:rFonts w:ascii="Aptos" w:hAnsi="Aptos"/>
          <w:i/>
          <w:color w:val="5A2340"/>
          <w:sz w:val="22"/>
        </w:rPr>
        <w:t>"As leituras são geradas por um fornecedor de inteligência artificial</w:t>
      </w:r>
    </w:p>
    <w:p>
      <w:pPr>
        <w:spacing w:before="80" w:after="140"/>
        <w:ind w:left="360" w:right="216"/>
      </w:pPr>
      <w:r>
        <w:rPr>
          <w:rFonts w:ascii="Aptos" w:hAnsi="Aptos"/>
          <w:i/>
          <w:color w:val="5A2340"/>
          <w:sz w:val="22"/>
        </w:rPr>
        <w:t>(Anthropic, EUA), que recebe apenas o texto da pergunta e as cartas</w:t>
      </w:r>
    </w:p>
    <w:p>
      <w:pPr>
        <w:spacing w:before="80" w:after="140"/>
        <w:ind w:left="360" w:right="216"/>
      </w:pPr>
      <w:r>
        <w:rPr>
          <w:rFonts w:ascii="Aptos" w:hAnsi="Aptos"/>
          <w:i/>
          <w:color w:val="5A2340"/>
          <w:sz w:val="22"/>
        </w:rPr>
        <w:t>sorteadas, sem nome, e-mail ou identificadores da conta. Nos termos da</w:t>
      </w:r>
    </w:p>
    <w:p>
      <w:pPr>
        <w:spacing w:before="80" w:after="140"/>
        <w:ind w:left="360" w:right="216"/>
      </w:pPr>
      <w:r>
        <w:rPr>
          <w:rFonts w:ascii="Aptos" w:hAnsi="Aptos"/>
          <w:i/>
          <w:color w:val="5A2340"/>
          <w:sz w:val="22"/>
        </w:rPr>
        <w:t>política comercial do fornecedor, esses conteúdos não são utilizados para</w:t>
      </w:r>
    </w:p>
    <w:p>
      <w:pPr>
        <w:spacing w:before="80" w:after="140"/>
        <w:ind w:left="360" w:right="216"/>
      </w:pPr>
      <w:r>
        <w:rPr>
          <w:rFonts w:ascii="Aptos" w:hAnsi="Aptos"/>
          <w:i/>
          <w:color w:val="5A2340"/>
          <w:sz w:val="22"/>
        </w:rPr>
        <w:t>treinar modelos de IA e são conservados e eliminados conforme os prazos e condições aplicáveis ao serviço comercial contratado."</w:t>
      </w:r>
    </w:p>
    <w:p>
      <w:pPr>
        <w:pStyle w:val="Heading2"/>
      </w:pPr>
      <w:r>
        <w:t>E) Pagamentos e direito do consumidor</w:t>
      </w:r>
    </w:p>
    <w:p>
      <w:r>
        <w:rPr>
          <w:rFonts w:ascii="Aptos" w:hAnsi="Aptos"/>
          <w:b/>
          <w:color w:val="222222"/>
          <w:sz w:val="22"/>
        </w:rPr>
        <w:t>Verificado:</w:t>
      </w:r>
      <w:r>
        <w:rPr>
          <w:rFonts w:ascii="Aptos" w:hAnsi="Aptos"/>
          <w:color w:val="222222"/>
          <w:sz w:val="22"/>
        </w:rPr>
        <w:t xml:space="preserve"> sem divergência entre os Termos vigentes e o sistema. Cancelamento self-service (portal Stripe; fim do período); arrependimento de 7 dias por e-mail (sem fluxo automático — Termos §8 descrevem exatamente isto); reembolso/chargeback retiram Premium ou apenas os créditos </w:t>
      </w:r>
      <w:r>
        <w:rPr>
          <w:rFonts w:ascii="Aptos" w:hAnsi="Aptos"/>
          <w:b/>
          <w:color w:val="222222"/>
          <w:sz w:val="22"/>
        </w:rPr>
        <w:t>não usados</w:t>
      </w:r>
      <w:r>
        <w:rPr>
          <w:rFonts w:ascii="Aptos" w:hAnsi="Aptos"/>
          <w:color w:val="222222"/>
          <w:sz w:val="22"/>
        </w:rPr>
        <w:t xml:space="preserve"> do lote reembolsado; exclusão de conta cancela a assinatura antes (falha-fechada); preços consistentes código↔Termos↔Stripe (com teste automático).</w:t>
      </w:r>
    </w:p>
    <w:p>
      <w:r>
        <w:rPr>
          <w:rFonts w:ascii="Aptos" w:hAnsi="Aptos"/>
          <w:b/>
          <w:color w:val="222222"/>
          <w:sz w:val="22"/>
        </w:rPr>
        <w:t>Decisões adotadas:</w:t>
      </w:r>
      <w:r>
        <w:rPr>
          <w:rFonts w:ascii="Aptos" w:hAnsi="Aptos"/>
          <w:color w:val="222222"/>
          <w:sz w:val="22"/>
        </w:rPr>
        <w:t xml:space="preserve"> (1) no Brasil, o arrependimento tempestivo gera reembolso integral, inclusive se o serviço já tiver sido iniciado; (2) no EEE, o início imediato e eventual perda do direito de livre resolução dependem de consentimento e reconhecimento expressos no checkout; (3) pedidos de reembolso serão tratados em até sete dias úteis, sem prejuízo de prazo legal inferior.</w:t>
      </w:r>
    </w:p>
    <w:p>
      <w:pPr>
        <w:pStyle w:val="Heading2"/>
      </w:pPr>
      <w:r>
        <w:t>F) Maioridade e prova de aceitação</w:t>
      </w:r>
    </w:p>
    <w:p>
      <w:r>
        <w:rPr>
          <w:rFonts w:ascii="Aptos" w:hAnsi="Aptos"/>
          <w:b/>
          <w:color w:val="222222"/>
          <w:sz w:val="22"/>
        </w:rPr>
        <w:t>Verificado — já implementado integralmente.</w:t>
      </w:r>
      <w:r>
        <w:rPr>
          <w:rFonts w:ascii="Aptos" w:hAnsi="Aptos"/>
          <w:color w:val="222222"/>
          <w:sz w:val="22"/>
        </w:rPr>
        <w:t xml:space="preserve"> Cada aceite (Termos, Privacidade, declaração 18+) grava: versão + </w:t>
      </w:r>
      <w:r>
        <w:rPr>
          <w:rFonts w:ascii="Aptos" w:hAnsi="Aptos"/>
          <w:b/>
          <w:color w:val="222222"/>
          <w:sz w:val="22"/>
        </w:rPr>
        <w:t>hash SHA-256 do texto exato</w:t>
      </w:r>
      <w:r>
        <w:rPr>
          <w:rFonts w:ascii="Aptos" w:hAnsi="Aptos"/>
          <w:color w:val="222222"/>
          <w:sz w:val="22"/>
        </w:rPr>
        <w:t xml:space="preserve"> + </w:t>
      </w:r>
      <w:r>
        <w:rPr>
          <w:rFonts w:ascii="Aptos" w:hAnsi="Aptos"/>
          <w:b/>
          <w:color w:val="222222"/>
          <w:sz w:val="22"/>
        </w:rPr>
        <w:t>data-hora do servidor</w:t>
      </w:r>
      <w:r>
        <w:rPr>
          <w:rFonts w:ascii="Aptos" w:hAnsi="Aptos"/>
          <w:color w:val="222222"/>
          <w:sz w:val="22"/>
        </w:rPr>
        <w:t xml:space="preserve"> + origem + idioma + mercado, em tabela append-only. O cadastro é recusado pelo servidor sem os três aceites. Nova versão de documento bloqueia o uso até reaceite (também no servidor). Hashes vigentes: Termos 2.2 </w:t>
      </w:r>
      <w:r>
        <w:rPr>
          <w:rFonts w:ascii="Aptos" w:hAnsi="Aptos"/>
          <w:color w:val="5A2340"/>
          <w:sz w:val="19"/>
        </w:rPr>
        <w:t>3ac8169d…</w:t>
      </w:r>
      <w:r>
        <w:rPr>
          <w:rFonts w:ascii="Aptos" w:hAnsi="Aptos"/>
          <w:color w:val="222222"/>
          <w:sz w:val="22"/>
        </w:rPr>
        <w:t xml:space="preserve">, Privacidade 2.3 </w:t>
      </w:r>
      <w:r>
        <w:rPr>
          <w:rFonts w:ascii="Aptos" w:hAnsi="Aptos"/>
          <w:color w:val="5A2340"/>
          <w:sz w:val="19"/>
        </w:rPr>
        <w:t>e6bc65fe…</w:t>
      </w:r>
      <w:r>
        <w:rPr>
          <w:rFonts w:ascii="Aptos" w:hAnsi="Aptos"/>
          <w:color w:val="222222"/>
          <w:sz w:val="22"/>
        </w:rPr>
        <w:t xml:space="preserve">, 18+ </w:t>
      </w:r>
      <w:r>
        <w:rPr>
          <w:rFonts w:ascii="Aptos" w:hAnsi="Aptos"/>
          <w:color w:val="5A2340"/>
          <w:sz w:val="19"/>
        </w:rPr>
        <w:t>1e2ab0c0…</w:t>
      </w:r>
      <w:r>
        <w:rPr>
          <w:rFonts w:ascii="Aptos" w:hAnsi="Aptos"/>
          <w:color w:val="222222"/>
          <w:sz w:val="22"/>
        </w:rPr>
        <w:t>. Limite documentado nos Termos §2: a maioridade é autodeclarada (sem verificação documental). Podemos emitir extrato de prova de qualquer conta.</w:t>
      </w:r>
    </w:p>
    <w:p>
      <w:pPr>
        <w:pStyle w:val="Heading2"/>
      </w:pPr>
      <w:r>
        <w:t>G) Retenção e exclusão</w:t>
      </w:r>
    </w:p>
    <w:p>
      <w:r>
        <w:rPr>
          <w:rFonts w:ascii="Aptos" w:hAnsi="Aptos"/>
          <w:b/>
          <w:color w:val="222222"/>
          <w:sz w:val="22"/>
        </w:rPr>
        <w:t>Verificado:</w:t>
      </w:r>
      <w:r>
        <w:rPr>
          <w:rFonts w:ascii="Aptos" w:hAnsi="Aptos"/>
          <w:color w:val="222222"/>
          <w:sz w:val="22"/>
        </w:rPr>
        <w:t xml:space="preserve"> exclusão de conta imediata e total (testada em produção, "zero rasto"); dados fiscais ficam na Stripe (10 anos); a Política v2.3 §8 foi redigida por critério/finalidade precisamente porque não há rotinas automáticas de expurgo — texto e sistema estão alinhados.</w:t>
      </w:r>
    </w:p>
    <w:p>
      <w:r>
        <w:rPr>
          <w:rFonts w:ascii="Aptos" w:hAnsi="Aptos"/>
          <w:b/>
          <w:color w:val="222222"/>
          <w:sz w:val="22"/>
        </w:rPr>
        <w:t>Decisão adotada:</w:t>
      </w:r>
      <w:r>
        <w:rPr>
          <w:rFonts w:ascii="Aptos" w:hAnsi="Aptos"/>
          <w:color w:val="222222"/>
          <w:sz w:val="22"/>
        </w:rPr>
        <w:t xml:space="preserve"> a Política 2.4 descreve apenas backups efetivamente disponíveis e condiciona a recuperação a um ponto no tempo à ativação real. O Supabase Pro permanece requisito operacional antes da divulgação em escala.</w:t>
      </w:r>
    </w:p>
    <w:p>
      <w:pPr>
        <w:pStyle w:val="Heading2"/>
      </w:pPr>
      <w:r>
        <w:t>H) Propriedade intelectual</w:t>
      </w:r>
    </w:p>
    <w:p>
      <w:r>
        <w:rPr>
          <w:rFonts w:ascii="Aptos" w:hAnsi="Aptos"/>
          <w:b/>
          <w:color w:val="222222"/>
          <w:sz w:val="22"/>
        </w:rPr>
        <w:t>Confirmado pela titular (13/08):</w:t>
      </w:r>
      <w:r>
        <w:rPr>
          <w:rFonts w:ascii="Aptos" w:hAnsi="Aptos"/>
          <w:color w:val="222222"/>
          <w:sz w:val="22"/>
        </w:rPr>
        <w:t xml:space="preserve"> todas as artes foram produzidas com ferramentas da </w:t>
      </w:r>
      <w:r>
        <w:rPr>
          <w:rFonts w:ascii="Aptos" w:hAnsi="Aptos"/>
          <w:b/>
          <w:color w:val="222222"/>
          <w:sz w:val="22"/>
        </w:rPr>
        <w:t>OpenAI</w:t>
      </w:r>
      <w:r>
        <w:rPr>
          <w:rFonts w:ascii="Aptos" w:hAnsi="Aptos"/>
          <w:color w:val="222222"/>
          <w:sz w:val="22"/>
        </w:rPr>
        <w:t>, sob direção criativa dela (prompts, seleção, curadoria), e descarregadas diretamente. Os termos da OpenAI atribuem ao utilizador os direitos sobre o output, compatível com a reivindicação.</w:t>
      </w:r>
    </w:p>
    <w:p>
      <w:r>
        <w:rPr>
          <w:rFonts w:ascii="Aptos" w:hAnsi="Aptos"/>
          <w:b/>
          <w:color w:val="222222"/>
          <w:sz w:val="22"/>
        </w:rPr>
        <w:t>Texto definitivo incorporado aos Termos 2.3</w:t>
      </w:r>
      <w:r>
        <w:rPr>
          <w:rFonts w:ascii="Aptos" w:hAnsi="Aptos"/>
          <w:color w:val="222222"/>
          <w:sz w:val="22"/>
        </w:rPr>
        <w:t xml:space="preserve"> : cláusula completa de PI/conteúdo assistido por IA — expande o atual §11 dos Termos — + </w:t>
      </w:r>
      <w:r>
        <w:rPr>
          <w:rFonts w:ascii="Aptos" w:hAnsi="Aptos"/>
          <w:b/>
          <w:color w:val="222222"/>
          <w:sz w:val="22"/>
        </w:rPr>
        <w:t>Declaração de Direção Criativa</w:t>
      </w:r>
      <w:r>
        <w:rPr>
          <w:rFonts w:ascii="Aptos" w:hAnsi="Aptos"/>
          <w:color w:val="222222"/>
          <w:sz w:val="22"/>
        </w:rPr>
        <w:t xml:space="preserve"> para assinatura da titular. Publicação (nova versão dos Termos + hash + reaceite) fica com o técnico após revisão jurídica independente.</w:t>
      </w:r>
    </w:p>
    <w:p>
      <w:r>
        <w:rPr>
          <w:rFonts w:ascii="Aptos" w:hAnsi="Aptos"/>
          <w:b/>
          <w:color w:val="222222"/>
          <w:sz w:val="22"/>
        </w:rPr>
        <w:t>Pendências:</w:t>
      </w:r>
      <w:r>
        <w:rPr>
          <w:rFonts w:ascii="Aptos" w:hAnsi="Aptos"/>
          <w:color w:val="222222"/>
          <w:sz w:val="22"/>
        </w:rPr>
        <w:t xml:space="preserve"> arquivar históricos/prompts da OpenAI como acervo de prova (Jussara); estratégia de </w:t>
      </w:r>
      <w:r>
        <w:rPr>
          <w:rFonts w:ascii="Aptos" w:hAnsi="Aptos"/>
          <w:b/>
          <w:color w:val="222222"/>
          <w:sz w:val="22"/>
        </w:rPr>
        <w:t>registo de marca</w:t>
      </w:r>
      <w:r>
        <w:rPr>
          <w:rFonts w:ascii="Aptos" w:hAnsi="Aptos"/>
          <w:color w:val="222222"/>
          <w:sz w:val="22"/>
        </w:rPr>
        <w:t xml:space="preserve"> — hoje "Veleda" não tem registo INPI-BR/PT nem EUIPO (advogada).</w:t>
      </w:r>
    </w:p>
    <w:p>
      <w:pPr>
        <w:pStyle w:val="Heading2"/>
      </w:pPr>
      <w:r>
        <w:t>I) RIPD / DPIA</w:t>
      </w:r>
    </w:p>
    <w:p>
      <w:r>
        <w:rPr>
          <w:rFonts w:ascii="Aptos" w:hAnsi="Aptos"/>
          <w:b/>
          <w:color w:val="222222"/>
          <w:sz w:val="22"/>
        </w:rPr>
        <w:t>RIPD/DPIA definitivo elaborado</w:t>
      </w:r>
      <w:r>
        <w:rPr>
          <w:rFonts w:ascii="Aptos" w:hAnsi="Aptos"/>
          <w:color w:val="222222"/>
          <w:sz w:val="22"/>
        </w:rPr>
        <w:t xml:space="preserve"> (</w:t>
      </w:r>
      <w:r>
        <w:rPr>
          <w:rFonts w:ascii="Aptos" w:hAnsi="Aptos"/>
          <w:color w:val="5A2340"/>
          <w:sz w:val="19"/>
        </w:rPr>
        <w:t>Veleda_RIPD_DPIA_v1.0_DEFINITIVO.md</w:t>
      </w:r>
      <w:r>
        <w:rPr>
          <w:rFonts w:ascii="Aptos" w:hAnsi="Aptos"/>
          <w:color w:val="222222"/>
          <w:sz w:val="22"/>
        </w:rPr>
        <w:t xml:space="preserve">), estruturada por LGPD art. 38 + RGPD art. 35: identificação; descrição do tratamento (inventário de dados, fluxo do clique à leitura, operadores/transferências, retenção); necessidade e proporcionalidade (bases legais propostas — a validar); 14 medidas de segurança verificadas; </w:t>
      </w:r>
      <w:r>
        <w:rPr>
          <w:rFonts w:ascii="Aptos" w:hAnsi="Aptos"/>
          <w:b/>
          <w:color w:val="222222"/>
          <w:sz w:val="22"/>
        </w:rPr>
        <w:t>matriz de 9 riscos</w:t>
      </w:r>
      <w:r>
        <w:rPr>
          <w:rFonts w:ascii="Aptos" w:hAnsi="Aptos"/>
          <w:color w:val="222222"/>
          <w:sz w:val="22"/>
        </w:rPr>
        <w:t xml:space="preserve"> com mitigação e residual (nenhum residual Alto; R4 sofrimento psíquico e R5 menores = Médios inerentes, mitigados e monitorizados); recomendações; secção de parecer em branco para a advogada.</w:t>
      </w:r>
    </w:p>
    <w:p>
      <w:r>
        <w:rPr>
          <w:rFonts w:ascii="Aptos" w:hAnsi="Aptos"/>
          <w:color w:val="222222"/>
          <w:sz w:val="22"/>
        </w:rPr>
        <w:t xml:space="preserve">Destaques da matriz: a ausência de </w:t>
      </w:r>
      <w:r>
        <w:rPr>
          <w:rFonts w:ascii="Aptos" w:hAnsi="Aptos"/>
          <w:b/>
          <w:color w:val="222222"/>
          <w:sz w:val="22"/>
        </w:rPr>
        <w:t>Encarregado/DPO designado</w:t>
      </w:r>
      <w:r>
        <w:rPr>
          <w:rFonts w:ascii="Aptos" w:hAnsi="Aptos"/>
          <w:color w:val="222222"/>
          <w:sz w:val="22"/>
        </w:rPr>
        <w:t xml:space="preserve"> (R8) precisa de decisão jurídica (ANPD dispensa agentes de pequeno porte, mas o canal existe — contact@); os DPAs devem ser arquivados com data (R3); a bateria de perguntas sensíveis à IA deve rodar antes da divulgação (R4).</w:t>
      </w:r>
    </w:p>
    <w:p>
      <w:pPr>
        <w:spacing w:after="120"/>
      </w:pPr>
    </w:p>
    <w:p>
      <w:pPr>
        <w:pStyle w:val="Heading2"/>
      </w:pPr>
      <w:r>
        <w:t>Quadro-resumo de ações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720"/>
            <w:shd w:fill="EADC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8"/>
              </w:rPr>
              <w:t>#</w:t>
            </w:r>
          </w:p>
        </w:tc>
        <w:tc>
          <w:tcPr>
            <w:tcW w:type="dxa" w:w="4405"/>
            <w:shd w:fill="EADC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8"/>
              </w:rPr>
              <w:t>Ação</w:t>
            </w:r>
          </w:p>
        </w:tc>
        <w:tc>
          <w:tcPr>
            <w:tcW w:type="dxa" w:w="1915"/>
            <w:shd w:fill="EADC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8"/>
              </w:rPr>
              <w:t>Responsável</w:t>
            </w:r>
          </w:p>
        </w:tc>
        <w:tc>
          <w:tcPr>
            <w:tcW w:type="dxa" w:w="2536"/>
            <w:shd w:fill="EADC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1</w:t>
            </w:r>
          </w:p>
        </w:tc>
        <w:tc>
          <w:tcPr>
            <w:tcW w:type="dxa" w:w="4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Revisar e aprovar o pacote jurídico definitivo</w:t>
            </w:r>
          </w:p>
        </w:tc>
        <w:tc>
          <w:tcPr>
            <w:tcW w:type="dxa" w:w="1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Advogada</w:t>
            </w:r>
          </w:p>
        </w:tc>
        <w:tc>
          <w:tcPr>
            <w:tcW w:type="dxa" w:w="2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pronto para revisão e assinatura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2</w:t>
            </w:r>
          </w:p>
        </w:tc>
        <w:tc>
          <w:tcPr>
            <w:tcW w:type="dxa" w:w="4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Publicar Termos 2.3, Privacidade 2.4, Subprocessadores 2.3 e aviso da interface; registrar hashes e exigir reaceite</w:t>
            </w:r>
          </w:p>
        </w:tc>
        <w:tc>
          <w:tcPr>
            <w:tcW w:type="dxa" w:w="1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Técnico</w:t>
            </w:r>
          </w:p>
        </w:tc>
        <w:tc>
          <w:tcPr>
            <w:tcW w:type="dxa" w:w="2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documentos e hashes prontos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3</w:t>
            </w:r>
          </w:p>
        </w:tc>
        <w:tc>
          <w:tcPr>
            <w:tcW w:type="dxa" w:w="4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Ativar Supabase Pro (backups §9)</w:t>
            </w:r>
          </w:p>
        </w:tc>
        <w:tc>
          <w:tcPr>
            <w:tcW w:type="dxa" w:w="1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Jussara</w:t>
            </w:r>
          </w:p>
        </w:tc>
        <w:tc>
          <w:tcPr>
            <w:tcW w:type="dxa" w:w="2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antes de divulgar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4</w:t>
            </w:r>
          </w:p>
        </w:tc>
        <w:tc>
          <w:tcPr>
            <w:tcW w:type="dxa" w:w="4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Arquivar DPAs datados dos 5 fornecedores</w:t>
            </w:r>
          </w:p>
        </w:tc>
        <w:tc>
          <w:tcPr>
            <w:tcW w:type="dxa" w:w="1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Jussara + advogada</w:t>
            </w:r>
          </w:p>
        </w:tc>
        <w:tc>
          <w:tcPr>
            <w:tcW w:type="dxa" w:w="2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5</w:t>
            </w:r>
          </w:p>
        </w:tc>
        <w:tc>
          <w:tcPr>
            <w:tcW w:type="dxa" w:w="4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Arquivar históricos/prompts OpenAI + assinar Declaração</w:t>
            </w:r>
          </w:p>
        </w:tc>
        <w:tc>
          <w:tcPr>
            <w:tcW w:type="dxa" w:w="1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Jussara</w:t>
            </w:r>
          </w:p>
        </w:tc>
        <w:tc>
          <w:tcPr>
            <w:tcW w:type="dxa" w:w="2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6</w:t>
            </w:r>
          </w:p>
        </w:tc>
        <w:tc>
          <w:tcPr>
            <w:tcW w:type="dxa" w:w="4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Reavaliar anualmente a necessidade de DPO e formalizar qualquer futura mudança para sociedade</w:t>
            </w:r>
          </w:p>
        </w:tc>
        <w:tc>
          <w:tcPr>
            <w:tcW w:type="dxa" w:w="1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Jussara + advogada</w:t>
            </w:r>
          </w:p>
        </w:tc>
        <w:tc>
          <w:tcPr>
            <w:tcW w:type="dxa" w:w="2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canal de privacidade ativo; operação mantida em nome pessoal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7</w:t>
            </w:r>
          </w:p>
        </w:tc>
        <w:tc>
          <w:tcPr>
            <w:tcW w:type="dxa" w:w="4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Registo de marca (INPI-BR/PT, EUIPO)</w:t>
            </w:r>
          </w:p>
        </w:tc>
        <w:tc>
          <w:tcPr>
            <w:tcW w:type="dxa" w:w="1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Advogada</w:t>
            </w:r>
          </w:p>
        </w:tc>
        <w:tc>
          <w:tcPr>
            <w:tcW w:type="dxa" w:w="2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8</w:t>
            </w:r>
          </w:p>
        </w:tc>
        <w:tc>
          <w:tcPr>
            <w:tcW w:type="dxa" w:w="4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Executar e documentar bateria de perguntas sensíveis: crise, menores, saúde, violência, dados pessoais e tentativas de contornar salvaguardas</w:t>
            </w:r>
          </w:p>
        </w:tc>
        <w:tc>
          <w:tcPr>
            <w:tcW w:type="dxa" w:w="1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Técnico + Jussara</w:t>
            </w:r>
          </w:p>
        </w:tc>
        <w:tc>
          <w:tcPr>
            <w:tcW w:type="dxa" w:w="2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8"/>
              </w:rPr>
              <w:t>antes de divulgar e após mudança relevante de modelo/prompt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Veleda Tarô Simbólico · 13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77777"/>
        <w:sz w:val="16"/>
      </w:rPr>
      <w:t>VELEDA  |  DOCUMENTAÇÃO JURÍDICA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B17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A5A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B17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