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Aptos" w:hAnsi="Aptos"/>
          <w:b/>
          <w:color w:val="6B173C"/>
          <w:sz w:val="44"/>
        </w:rPr>
        <w:t>Relatório de Impacto à Proteção de Dados (RIPD / DPIA) — Veleda Tarô Simbólico</w:t>
      </w:r>
    </w:p>
    <w:p>
      <w:r>
        <w:rPr>
          <w:rFonts w:ascii="Aptos" w:hAnsi="Aptos"/>
          <w:b/>
          <w:color w:val="222222"/>
          <w:sz w:val="22"/>
        </w:rPr>
        <w:t>Versão definitiva 1.0</w:t>
      </w:r>
      <w:r>
        <w:rPr>
          <w:rFonts w:ascii="Aptos" w:hAnsi="Aptos"/>
          <w:color w:val="222222"/>
          <w:sz w:val="22"/>
        </w:rPr>
        <w:t xml:space="preserve"> · Emitida em 13/08/2026 pela equipe técnica · Elaborada com base na LGPD, especialmente arts. 5.º, XVII, e 38, e no RGPD, especialmente art. 35. A seção 8 é reservada ao parecer e à assinatura da revisão jurídica.</w:t>
      </w:r>
    </w:p>
    <w:p>
      <w:pPr>
        <w:spacing w:after="120"/>
      </w:pPr>
    </w:p>
    <w:p>
      <w:pPr>
        <w:pStyle w:val="Heading2"/>
      </w:pPr>
      <w:r>
        <w:t>1. 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6696"/>
      </w:tblGrid>
      <w:tr>
        <w:trPr>
          <w:tblHeader w:val="true"/>
        </w:trPr>
        <w:tc>
          <w:tcPr>
            <w:tcW w:type="dxa" w:w="1440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Campo</w:t>
            </w:r>
          </w:p>
        </w:tc>
        <w:tc>
          <w:tcPr>
            <w:tcW w:type="dxa" w:w="11952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Serviço</w:t>
            </w:r>
          </w:p>
        </w:tc>
        <w:tc>
          <w:tcPr>
            <w:tcW w:type="dxa" w:w="11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Veleda Tarô Simbólico — leituras de tarot reflexivas geradas por IA (</w:t>
            </w:r>
            <w:r>
              <w:rPr>
                <w:rFonts w:ascii="Aptos" w:hAnsi="Aptos"/>
                <w:color w:val="222222"/>
                <w:sz w:val="16"/>
              </w:rPr>
              <w:t>https://veledataro.com)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Controladora</w:t>
            </w:r>
          </w:p>
        </w:tc>
        <w:tc>
          <w:tcPr>
            <w:tcW w:type="dxa" w:w="11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Jussara Derly Rodrigues de Oliveira Grota, pessoa singular, NIF 302020250, Ericeira, Portugal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Encarregado/DPO</w:t>
            </w:r>
          </w:p>
        </w:tc>
        <w:tc>
          <w:tcPr>
            <w:tcW w:type="dxa" w:w="11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Não designado. O canal contact@veledataro.com atende titulares e autoridades. A necessidade de designação será reavaliada diante de mudança de escala, risco ou enquadramento legal.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Canal do titular</w:t>
            </w:r>
          </w:p>
        </w:tc>
        <w:tc>
          <w:tcPr>
            <w:tcW w:type="dxa" w:w="11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contact@veledataro.com (página /privacidade)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Público-alvo</w:t>
            </w:r>
          </w:p>
        </w:tc>
        <w:tc>
          <w:tcPr>
            <w:tcW w:type="dxa" w:w="11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Consumidores no Brasil, maiores de 18 anos (autodeclaração no cadastro)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Data / versão do relatório</w:t>
            </w:r>
          </w:p>
        </w:tc>
        <w:tc>
          <w:tcPr>
            <w:tcW w:type="dxa" w:w="11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13/08/2026 · versão 1.0</w:t>
            </w:r>
          </w:p>
        </w:tc>
      </w:tr>
    </w:tbl>
    <w:p>
      <w:pPr>
        <w:pStyle w:val="Heading2"/>
      </w:pPr>
      <w:r>
        <w:t>2. Descrição do tratamento</w:t>
      </w:r>
    </w:p>
    <w:p>
      <w:pPr>
        <w:pStyle w:val="Heading3"/>
      </w:pPr>
      <w:r>
        <w:t>2.1 Natureza e finalidades</w:t>
      </w:r>
    </w:p>
    <w:p>
      <w:pPr>
        <w:pStyle w:val="ListNumber"/>
      </w:pPr>
      <w:r>
        <w:rPr>
          <w:rFonts w:ascii="Aptos" w:hAnsi="Aptos"/>
          <w:b/>
          <w:color w:val="222222"/>
          <w:sz w:val="22"/>
        </w:rPr>
        <w:t>Prestar o serviço</w:t>
      </w:r>
      <w:r>
        <w:rPr>
          <w:rFonts w:ascii="Aptos" w:hAnsi="Aptos"/>
          <w:color w:val="222222"/>
          <w:sz w:val="22"/>
        </w:rPr>
        <w:t>: gerar leituras de tarot a partir de uma pergunta do</w:t>
      </w:r>
    </w:p>
    <w:p>
      <w:r>
        <w:rPr>
          <w:rFonts w:ascii="Aptos" w:hAnsi="Aptos"/>
          <w:color w:val="222222"/>
          <w:sz w:val="22"/>
        </w:rPr>
        <w:t xml:space="preserve">   utilizador e três cartas sorteadas, mediante conta autenticada.</w:t>
      </w:r>
    </w:p>
    <w:p>
      <w:pPr>
        <w:pStyle w:val="ListNumber"/>
      </w:pPr>
      <w:r>
        <w:rPr>
          <w:rFonts w:ascii="Aptos" w:hAnsi="Aptos"/>
          <w:b/>
          <w:color w:val="222222"/>
          <w:sz w:val="22"/>
        </w:rPr>
        <w:t>Diário pessoal</w:t>
      </w:r>
      <w:r>
        <w:rPr>
          <w:rFonts w:ascii="Aptos" w:hAnsi="Aptos"/>
          <w:color w:val="222222"/>
          <w:sz w:val="22"/>
        </w:rPr>
        <w:t>: notas livres do utilizador, opcionalmente ligadas a leituras.</w:t>
      </w:r>
    </w:p>
    <w:p>
      <w:pPr>
        <w:pStyle w:val="ListNumber"/>
      </w:pPr>
      <w:r>
        <w:rPr>
          <w:rFonts w:ascii="Aptos" w:hAnsi="Aptos"/>
          <w:b/>
          <w:color w:val="222222"/>
          <w:sz w:val="22"/>
        </w:rPr>
        <w:t>Cobrança</w:t>
      </w:r>
      <w:r>
        <w:rPr>
          <w:rFonts w:ascii="Aptos" w:hAnsi="Aptos"/>
          <w:color w:val="222222"/>
          <w:sz w:val="22"/>
        </w:rPr>
        <w:t>: assinatura mensal/anual ou pacote avulso (Stripe).</w:t>
      </w:r>
    </w:p>
    <w:p>
      <w:pPr>
        <w:pStyle w:val="ListNumber"/>
      </w:pPr>
      <w:r>
        <w:rPr>
          <w:rFonts w:ascii="Aptos" w:hAnsi="Aptos"/>
          <w:b/>
          <w:color w:val="222222"/>
          <w:sz w:val="22"/>
        </w:rPr>
        <w:t>Obrigações legais</w:t>
      </w:r>
      <w:r>
        <w:rPr>
          <w:rFonts w:ascii="Aptos" w:hAnsi="Aptos"/>
          <w:color w:val="222222"/>
          <w:sz w:val="22"/>
        </w:rPr>
        <w:t>: prova de consentimento, faturação/fiscal.</w:t>
      </w:r>
    </w:p>
    <w:p>
      <w:pPr>
        <w:pStyle w:val="ListNumber"/>
      </w:pPr>
      <w:r>
        <w:rPr>
          <w:rFonts w:ascii="Aptos" w:hAnsi="Aptos"/>
          <w:b/>
          <w:color w:val="222222"/>
          <w:sz w:val="22"/>
        </w:rPr>
        <w:t>Segurança e operação</w:t>
      </w:r>
      <w:r>
        <w:rPr>
          <w:rFonts w:ascii="Aptos" w:hAnsi="Aptos"/>
          <w:color w:val="222222"/>
          <w:sz w:val="22"/>
        </w:rPr>
        <w:t>: logs técnicos sem conteúdo, quotas antiabuso.</w:t>
      </w:r>
    </w:p>
    <w:p>
      <w:pPr>
        <w:pStyle w:val="ListNumber"/>
      </w:pPr>
      <w:r>
        <w:rPr>
          <w:rFonts w:ascii="Aptos" w:hAnsi="Aptos"/>
          <w:b/>
          <w:color w:val="222222"/>
          <w:sz w:val="22"/>
        </w:rPr>
        <w:t>Medição de audiência</w:t>
      </w:r>
      <w:r>
        <w:rPr>
          <w:rFonts w:ascii="Aptos" w:hAnsi="Aptos"/>
          <w:color w:val="222222"/>
          <w:sz w:val="22"/>
        </w:rPr>
        <w:t>: analytics agregado e anónimo, sem cookies.</w:t>
      </w:r>
    </w:p>
    <w:p>
      <w:pPr>
        <w:pStyle w:val="Heading3"/>
      </w:pPr>
      <w:r>
        <w:t>2.2 Dados tratados (inventário)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8"/>
        <w:gridCol w:w="3348"/>
        <w:gridCol w:w="3348"/>
        <w:gridCol w:w="3348"/>
      </w:tblGrid>
      <w:tr>
        <w:trPr>
          <w:tblHeader w:val="true"/>
        </w:trPr>
        <w:tc>
          <w:tcPr>
            <w:tcW w:type="dxa" w:w="720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Categoria</w:t>
            </w:r>
          </w:p>
        </w:tc>
        <w:tc>
          <w:tcPr>
            <w:tcW w:type="dxa" w:w="6160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Dados</w:t>
            </w:r>
          </w:p>
        </w:tc>
        <w:tc>
          <w:tcPr>
            <w:tcW w:type="dxa" w:w="2678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Origem</w:t>
            </w:r>
          </w:p>
        </w:tc>
        <w:tc>
          <w:tcPr>
            <w:tcW w:type="dxa" w:w="3833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Onde ficam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Conta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e-mail, senha (hash), nome de exibição</w:t>
            </w:r>
          </w:p>
        </w:tc>
        <w:tc>
          <w:tcPr>
            <w:tcW w:type="dxa" w:w="2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titular</w:t>
            </w:r>
          </w:p>
        </w:tc>
        <w:tc>
          <w:tcPr>
            <w:tcW w:type="dxa" w:w="3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Supabase (UE)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Consentimentos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versão + hash SHA-256 do texto aceite + hora do servidor + idioma + mercado + declaração 18+</w:t>
            </w:r>
          </w:p>
        </w:tc>
        <w:tc>
          <w:tcPr>
            <w:tcW w:type="dxa" w:w="2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sistema</w:t>
            </w:r>
          </w:p>
        </w:tc>
        <w:tc>
          <w:tcPr>
            <w:tcW w:type="dxa" w:w="3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Supabase (UE)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Conteúdo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pergunta, cartas sorteadas, texto da leitura, diário</w:t>
            </w:r>
          </w:p>
        </w:tc>
        <w:tc>
          <w:tcPr>
            <w:tcW w:type="dxa" w:w="2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titular / IA</w:t>
            </w:r>
          </w:p>
        </w:tc>
        <w:tc>
          <w:tcPr>
            <w:tcW w:type="dxa" w:w="3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Supabase (UE)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Pagamento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ID de cliente Stripe, plano, estado; dados de cartão só no Stripe</w:t>
            </w:r>
          </w:p>
        </w:tc>
        <w:tc>
          <w:tcPr>
            <w:tcW w:type="dxa" w:w="2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titular → Stripe</w:t>
            </w:r>
          </w:p>
        </w:tc>
        <w:tc>
          <w:tcPr>
            <w:tcW w:type="dxa" w:w="3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Stripe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Técnicos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logs de erro/segurança com códigos (sem conteúdo), IP nos logs de infraestrutura</w:t>
            </w:r>
          </w:p>
        </w:tc>
        <w:tc>
          <w:tcPr>
            <w:tcW w:type="dxa" w:w="2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sistema</w:t>
            </w:r>
          </w:p>
        </w:tc>
        <w:tc>
          <w:tcPr>
            <w:tcW w:type="dxa" w:w="3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Supabase/Vercel</w:t>
            </w:r>
          </w:p>
        </w:tc>
      </w:tr>
    </w:tbl>
    <w:p>
      <w:r>
        <w:rPr>
          <w:rFonts w:ascii="Aptos" w:hAnsi="Aptos"/>
          <w:b/>
          <w:color w:val="222222"/>
          <w:sz w:val="22"/>
        </w:rPr>
        <w:t>Dados sensíveis:</w:t>
      </w:r>
      <w:r>
        <w:rPr>
          <w:rFonts w:ascii="Aptos" w:hAnsi="Aptos"/>
          <w:color w:val="222222"/>
          <w:sz w:val="22"/>
        </w:rPr>
        <w:t xml:space="preserve"> o serviço não pede dados sensíveis, mas a pergunta e o diário são texto livre e </w:t>
      </w:r>
      <w:r>
        <w:rPr>
          <w:rFonts w:ascii="Aptos" w:hAnsi="Aptos"/>
          <w:b/>
          <w:color w:val="222222"/>
          <w:sz w:val="22"/>
        </w:rPr>
        <w:t>podem conter, por iniciativa do titular</w:t>
      </w:r>
      <w:r>
        <w:rPr>
          <w:rFonts w:ascii="Aptos" w:hAnsi="Aptos"/>
          <w:color w:val="222222"/>
          <w:sz w:val="22"/>
        </w:rPr>
        <w:t>, informações íntimas (saúde emocional, vida afetiva, religião). A Política (v2.2/2.3 §4–§5, redação revista juridicamente) trata este cenário com base no consentimento e desaconselha a inclusão de dados de terceiros.</w:t>
      </w:r>
    </w:p>
    <w:p>
      <w:pPr>
        <w:pStyle w:val="Heading3"/>
      </w:pPr>
      <w:r>
        <w:t>2.3 Fluxo de dados (do clique à leitura)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>O utilizador autentica-se (Supabase Auth, UE) e escreve a pergunta.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>O servidor valida sessão, consentimentos vigentes e quota (reserva atómica).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 xml:space="preserve">Segue para a Anthropic (EUA) </w:t>
      </w:r>
      <w:r>
        <w:rPr>
          <w:rFonts w:ascii="Aptos" w:hAnsi="Aptos"/>
          <w:b/>
          <w:color w:val="222222"/>
          <w:sz w:val="22"/>
        </w:rPr>
        <w:t>apenas</w:t>
      </w:r>
      <w:r>
        <w:rPr>
          <w:rFonts w:ascii="Aptos" w:hAnsi="Aptos"/>
          <w:color w:val="222222"/>
          <w:sz w:val="22"/>
        </w:rPr>
        <w:t>: pergunta + 3 cartas + instruções</w:t>
      </w:r>
    </w:p>
    <w:p>
      <w:r>
        <w:rPr>
          <w:rFonts w:ascii="Aptos" w:hAnsi="Aptos"/>
          <w:color w:val="222222"/>
          <w:sz w:val="22"/>
        </w:rPr>
        <w:t xml:space="preserve">   fixas + idioma. </w:t>
      </w:r>
      <w:r>
        <w:rPr>
          <w:rFonts w:ascii="Aptos" w:hAnsi="Aptos"/>
          <w:b/>
          <w:color w:val="222222"/>
          <w:sz w:val="22"/>
        </w:rPr>
        <w:t>Sem identificadores</w:t>
      </w:r>
      <w:r>
        <w:rPr>
          <w:rFonts w:ascii="Aptos" w:hAnsi="Aptos"/>
          <w:color w:val="222222"/>
          <w:sz w:val="22"/>
        </w:rPr>
        <w:t xml:space="preserve"> (nem nome, nem e-mail, nem ID, nem    IP do utilizador) — pedidos são impessoais e não correlacionáveis.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>A leitura volta, é validada/sanitizada e gravada no Supabase (UE), ligada à</w:t>
      </w:r>
    </w:p>
    <w:p>
      <w:r>
        <w:rPr>
          <w:rFonts w:ascii="Aptos" w:hAnsi="Aptos"/>
          <w:color w:val="222222"/>
          <w:sz w:val="22"/>
        </w:rPr>
        <w:t xml:space="preserve">   conta </w:t>
      </w:r>
      <w:r>
        <w:rPr>
          <w:rFonts w:ascii="Aptos" w:hAnsi="Aptos"/>
          <w:b/>
          <w:color w:val="222222"/>
          <w:sz w:val="22"/>
        </w:rPr>
        <w:t>apenas dentro do Veleda</w:t>
      </w:r>
      <w:r>
        <w:rPr>
          <w:rFonts w:ascii="Aptos" w:hAnsi="Aptos"/>
          <w:color w:val="222222"/>
          <w:sz w:val="22"/>
        </w:rPr>
        <w:t>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>O diário nunca sai do Supabase. Pagamentos correm inteiramente no Stripe.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>E-mails de autenticação saem via Resend (EUA) — só e-mail e conteúdo</w:t>
      </w:r>
    </w:p>
    <w:p>
      <w:r>
        <w:rPr>
          <w:rFonts w:ascii="Aptos" w:hAnsi="Aptos"/>
          <w:color w:val="222222"/>
          <w:sz w:val="22"/>
        </w:rPr>
        <w:t xml:space="preserve">   transacional.</w:t>
      </w:r>
    </w:p>
    <w:p>
      <w:pPr>
        <w:pStyle w:val="Heading3"/>
      </w:pPr>
      <w:r>
        <w:t>2.4 Operadores e transferências internacionais</w:t>
      </w:r>
    </w:p>
    <w:p>
      <w:r>
        <w:rPr>
          <w:rFonts w:ascii="Aptos" w:hAnsi="Aptos"/>
          <w:color w:val="222222"/>
          <w:sz w:val="22"/>
        </w:rPr>
        <w:t xml:space="preserve">Ver inventário completo com DPAs na pasta </w:t>
      </w:r>
      <w:r>
        <w:rPr>
          <w:rFonts w:ascii="Aptos" w:hAnsi="Aptos"/>
          <w:color w:val="5A2340"/>
          <w:sz w:val="19"/>
        </w:rPr>
        <w:t>C-fornecedores-transferencias/</w:t>
      </w:r>
      <w:r>
        <w:rPr>
          <w:rFonts w:ascii="Aptos" w:hAnsi="Aptos"/>
          <w:color w:val="222222"/>
          <w:sz w:val="22"/>
        </w:rPr>
        <w:t>. Resumo: Supabase (UE-Irlanda, armazenamento primário), Anthropic (EUA, IA, payload minimizado), Stripe (EEE/EUA, pagamentos), Vercel (EUA, hospedagem), Resend (EUA, e-mail). Mecanismos: DPAs com SCCs/DPF dos fornecedores (LGPD art. 33 / RGPD cap. V).</w:t>
      </w:r>
    </w:p>
    <w:p>
      <w:pPr>
        <w:pStyle w:val="Heading3"/>
      </w:pPr>
      <w:r>
        <w:t>2.5 Retenção</w:t>
      </w:r>
    </w:p>
    <w:p>
      <w:r>
        <w:rPr>
          <w:rFonts w:ascii="Aptos" w:hAnsi="Aptos"/>
          <w:color w:val="222222"/>
          <w:sz w:val="22"/>
        </w:rPr>
        <w:t>Por critério/finalidade (Política v2.3 §8): dados de conta/conteúdo enquanto a conta existir; exclusão de conta = eliminação imediata e total (verificada); dados fiscais 10 anos (Stripe); backups conforme o plano efetivamente contratado; recuperação a um ponto no tempo ainda não ativada; na Anthropic, retenção e eliminação segundo as condições do serviço comercial contratado, sem uso padrão para treinamento geral de modelos.</w:t>
      </w:r>
    </w:p>
    <w:p>
      <w:pPr>
        <w:pStyle w:val="Heading2"/>
      </w:pPr>
      <w:r>
        <w:t>3. Necessidade e proporcionalidade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6696"/>
      </w:tblGrid>
      <w:tr>
        <w:trPr>
          <w:tblHeader w:val="true"/>
        </w:trPr>
        <w:tc>
          <w:tcPr>
            <w:tcW w:type="dxa" w:w="1440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Teste</w:t>
            </w:r>
          </w:p>
        </w:tc>
        <w:tc>
          <w:tcPr>
            <w:tcW w:type="dxa" w:w="11952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Avaliação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Finalidade legítima e específica</w:t>
            </w:r>
          </w:p>
        </w:tc>
        <w:tc>
          <w:tcPr>
            <w:tcW w:type="dxa" w:w="11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Sim — entretenimento/reflexão contratado pelo titular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Minimização</w:t>
            </w:r>
          </w:p>
        </w:tc>
        <w:tc>
          <w:tcPr>
            <w:tcW w:type="dxa" w:w="11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Cadastro pede só e-mail+senha (+nome de exibição opcional na 1.ª leitura); a IA recebe payload mínimo sem identificadores; sem cookies de tracking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Base legal (LGPD)</w:t>
            </w:r>
          </w:p>
        </w:tc>
        <w:tc>
          <w:tcPr>
            <w:tcW w:type="dxa" w:w="11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Execução de contrato (art. 7 V) para o serviço; consentimento (art. 7 I / art. 11 I para sensíveis inseridos pelo titular); obrigação legal (fiscal); legítimo interesse (segurança/logs)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Transparência</w:t>
            </w:r>
          </w:p>
        </w:tc>
        <w:tc>
          <w:tcPr>
            <w:tcW w:type="dxa" w:w="11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Política + Subprocessadores + Cookies públicos; aviso pré-envio e pós-leitura permanentes; exportação self-service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Direitos do titular</w:t>
            </w:r>
          </w:p>
        </w:tc>
        <w:tc>
          <w:tcPr>
            <w:tcW w:type="dxa" w:w="11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Acesso/portabilidade (exportação), eliminação (exclusão total), retificação (nome/senha/e-mail), informação (páginas legais) — operacionais hoje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Alternativas menos intrusivas</w:t>
            </w:r>
          </w:p>
        </w:tc>
        <w:tc>
          <w:tcPr>
            <w:tcW w:type="dxa" w:w="11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Geração sem IA externa (modelo local) foi considerada e rejeitada por inviabilidade de qualidade/custo; a mitigação escolhida foi minimizar o payload</w:t>
            </w:r>
          </w:p>
        </w:tc>
      </w:tr>
    </w:tbl>
    <w:p>
      <w:pPr>
        <w:pStyle w:val="Heading2"/>
      </w:pPr>
      <w:r>
        <w:t>4. Medidas de segurança implementadas (verificadas no código/produção)</w:t>
      </w:r>
    </w:p>
    <w:p>
      <w:r>
        <w:rPr>
          <w:rFonts w:ascii="Aptos" w:hAnsi="Aptos"/>
          <w:b/>
          <w:color w:val="222222"/>
          <w:sz w:val="22"/>
        </w:rPr>
        <w:t>Técnicas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>RLS (Row-Level Security) em todas as tabelas; RPCs financeiras/quota só</w:t>
      </w:r>
    </w:p>
    <w:p>
      <w:r>
        <w:rPr>
          <w:rFonts w:ascii="Aptos" w:hAnsi="Aptos"/>
          <w:color w:val="222222"/>
          <w:sz w:val="22"/>
        </w:rPr>
        <w:t xml:space="preserve">   </w:t>
      </w:r>
      <w:r>
        <w:rPr>
          <w:rFonts w:ascii="Aptos" w:hAnsi="Aptos"/>
          <w:color w:val="5A2340"/>
          <w:sz w:val="19"/>
        </w:rPr>
        <w:t>service_role</w:t>
      </w:r>
      <w:r>
        <w:rPr>
          <w:rFonts w:ascii="Aptos" w:hAnsi="Aptos"/>
          <w:color w:val="222222"/>
          <w:sz w:val="22"/>
        </w:rPr>
        <w:t>; colunas sensíveis de perfil bloqueadas a escrita do titular.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>Cifra em trânsito (TLS) e em repouso (Supabase/Stripe padrão).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>Senhas com hash (Supabase Auth); recuperação de senha com fluxo restrito.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>Pergunta tratada como dado não confiável (anti prompt-injection, entrada e</w:t>
      </w:r>
    </w:p>
    <w:p>
      <w:r>
        <w:rPr>
          <w:rFonts w:ascii="Aptos" w:hAnsi="Aptos"/>
          <w:color w:val="222222"/>
          <w:sz w:val="22"/>
        </w:rPr>
        <w:t xml:space="preserve">   saída); saída da IA sanitizada (DOMPurify) antes de renderizar.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>Logs sem conteúdo de perguntas/diário (só códigos técnicos + request_id).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>CSP, X-Frame-Options, nosniff, HSTS, Referrer/Permissions-Policy.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>CORS por origem exata; quotas e rate-limits atómicos no servidor; teto</w:t>
      </w:r>
    </w:p>
    <w:p>
      <w:r>
        <w:rPr>
          <w:rFonts w:ascii="Aptos" w:hAnsi="Aptos"/>
          <w:color w:val="222222"/>
          <w:sz w:val="22"/>
        </w:rPr>
        <w:t xml:space="preserve">   global de gasto operacional (budget) para abuso.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>Exclusão de conta falha-fechada (cancela Stripe antes; tudo-ou-nada).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>Idempotência e reservas atómicas nos pagamentos/leituras (sem dupla cobrança).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>Deteção local de sinais de crise com recursos de apoio por país (CVV 188…).</w:t>
      </w:r>
    </w:p>
    <w:p>
      <w:r>
        <w:rPr>
          <w:rFonts w:ascii="Aptos" w:hAnsi="Aptos"/>
          <w:b/>
          <w:color w:val="222222"/>
          <w:sz w:val="22"/>
        </w:rPr>
        <w:t>Organizacionais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>Consentimentos com prova forte (hash do texto + hora do servidor).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>Segredos fora do repositório; chaves só no servidor (Supabase secrets).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>Auditorias de segurança independentes (jul/2026: 2 rondas, 14+17 achados,</w:t>
      </w:r>
    </w:p>
    <w:p>
      <w:r>
        <w:rPr>
          <w:rFonts w:ascii="Aptos" w:hAnsi="Aptos"/>
          <w:color w:val="222222"/>
          <w:sz w:val="22"/>
        </w:rPr>
        <w:t xml:space="preserve">    fechados no código — relatórios em </w:t>
      </w:r>
      <w:r>
        <w:rPr>
          <w:rFonts w:ascii="Aptos" w:hAnsi="Aptos"/>
          <w:color w:val="5A2340"/>
          <w:sz w:val="19"/>
        </w:rPr>
        <w:t>docs/auditoria-seguranca/</w:t>
      </w:r>
      <w:r>
        <w:rPr>
          <w:rFonts w:ascii="Aptos" w:hAnsi="Aptos"/>
          <w:color w:val="222222"/>
          <w:sz w:val="22"/>
        </w:rPr>
        <w:t>).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>Testes automatizados de invariantes de segurança (RLS, grants, consents)</w:t>
      </w:r>
    </w:p>
    <w:p>
      <w:r>
        <w:rPr>
          <w:rFonts w:ascii="Aptos" w:hAnsi="Aptos"/>
          <w:color w:val="222222"/>
          <w:sz w:val="22"/>
        </w:rPr>
        <w:t xml:space="preserve">    correndo contra Postgres real (</w:t>
      </w:r>
      <w:r>
        <w:rPr>
          <w:rFonts w:ascii="Aptos" w:hAnsi="Aptos"/>
          <w:color w:val="5A2340"/>
          <w:sz w:val="19"/>
        </w:rPr>
        <w:t>npm run test:db</w:t>
      </w:r>
      <w:r>
        <w:rPr>
          <w:rFonts w:ascii="Aptos" w:hAnsi="Aptos"/>
          <w:color w:val="222222"/>
          <w:sz w:val="22"/>
        </w:rPr>
        <w:t>).</w:t>
      </w:r>
    </w:p>
    <w:p>
      <w:pPr>
        <w:pStyle w:val="Heading2"/>
      </w:pPr>
      <w:r>
        <w:t>5. Avaliação de riscos</w:t>
      </w:r>
    </w:p>
    <w:p>
      <w:r>
        <w:rPr>
          <w:rFonts w:ascii="Aptos" w:hAnsi="Aptos"/>
          <w:color w:val="222222"/>
          <w:sz w:val="22"/>
        </w:rPr>
        <w:t>Escala: probabilidade e impacto Baixo/Médio/Alto; risco residual após medidas.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605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#</w:t>
            </w:r>
          </w:p>
        </w:tc>
        <w:tc>
          <w:tcPr>
            <w:tcW w:type="dxa" w:w="2333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Risco</w:t>
            </w:r>
          </w:p>
        </w:tc>
        <w:tc>
          <w:tcPr>
            <w:tcW w:type="dxa" w:w="893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Prob.</w:t>
            </w:r>
          </w:p>
        </w:tc>
        <w:tc>
          <w:tcPr>
            <w:tcW w:type="dxa" w:w="1037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Impacto</w:t>
            </w:r>
          </w:p>
        </w:tc>
        <w:tc>
          <w:tcPr>
            <w:tcW w:type="dxa" w:w="5256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Medidas em vigor</w:t>
            </w:r>
          </w:p>
        </w:tc>
        <w:tc>
          <w:tcPr>
            <w:tcW w:type="dxa" w:w="3269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Residual</w:t>
            </w:r>
          </w:p>
        </w:tc>
      </w:tr>
      <w:tr>
        <w:trPr>
          <w:cantSplit/>
        </w:trPr>
        <w:tc>
          <w:tcPr>
            <w:tcW w:type="dxa" w:w="6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R1</w:t>
            </w:r>
          </w:p>
        </w:tc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Exposição de perguntas/diário íntimos por violação de dados</w:t>
            </w:r>
          </w:p>
        </w:tc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B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6"/>
              </w:rPr>
              <w:t>A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RLS, cifra, logs sem conteúdo, auditorias, CSP</w:t>
            </w:r>
          </w:p>
        </w:tc>
        <w:tc>
          <w:tcPr>
            <w:tcW w:type="dxa" w:w="3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6"/>
              </w:rPr>
              <w:t>Médio-baixo</w:t>
            </w:r>
          </w:p>
        </w:tc>
      </w:tr>
      <w:tr>
        <w:trPr>
          <w:cantSplit/>
        </w:trPr>
        <w:tc>
          <w:tcPr>
            <w:tcW w:type="dxa" w:w="6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R2</w:t>
            </w:r>
          </w:p>
        </w:tc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Reidentificação dos conteúdos enviados à IA</w:t>
            </w:r>
          </w:p>
        </w:tc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6"/>
              </w:rPr>
              <w:t>B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M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payload sem identificadores; pedidos impessoais; sem treino; eliminação curta no fornecedor</w:t>
            </w:r>
          </w:p>
        </w:tc>
        <w:tc>
          <w:tcPr>
            <w:tcW w:type="dxa" w:w="3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6"/>
              </w:rPr>
              <w:t>Baixo</w:t>
            </w:r>
          </w:p>
        </w:tc>
      </w:tr>
      <w:tr>
        <w:trPr>
          <w:cantSplit/>
        </w:trPr>
        <w:tc>
          <w:tcPr>
            <w:tcW w:type="dxa" w:w="6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R3</w:t>
            </w:r>
          </w:p>
        </w:tc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Transferência internacional (Anthropic/Resend/Vercel, EUA) sem salvaguarda</w:t>
            </w:r>
          </w:p>
        </w:tc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B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M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DPAs/SCCs dos fornecedores; minimização; armazenamento primário na UE</w:t>
            </w:r>
          </w:p>
        </w:tc>
        <w:tc>
          <w:tcPr>
            <w:tcW w:type="dxa" w:w="3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6"/>
              </w:rPr>
              <w:t>Baixo</w:t>
            </w:r>
            <w:r>
              <w:rPr>
                <w:rFonts w:ascii="Aptos" w:hAnsi="Aptos"/>
                <w:color w:val="222222"/>
                <w:sz w:val="16"/>
              </w:rPr>
              <w:t xml:space="preserve"> (validar arquivo dos DPAs)</w:t>
            </w:r>
          </w:p>
        </w:tc>
      </w:tr>
      <w:tr>
        <w:trPr>
          <w:cantSplit/>
        </w:trPr>
        <w:tc>
          <w:tcPr>
            <w:tcW w:type="dxa" w:w="6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R4</w:t>
            </w:r>
          </w:p>
        </w:tc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Utilizador em sofrimento psíquico usa o serviço como apoio</w:t>
            </w:r>
          </w:p>
        </w:tc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M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6"/>
              </w:rPr>
              <w:t>A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deteção de crise + recursos por país; avisos fixos; tom acolhedor imposto no prompt; sem conselhos médicos</w:t>
            </w:r>
          </w:p>
        </w:tc>
        <w:tc>
          <w:tcPr>
            <w:tcW w:type="dxa" w:w="3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6"/>
              </w:rPr>
              <w:t>Médio</w:t>
            </w:r>
            <w:r>
              <w:rPr>
                <w:rFonts w:ascii="Aptos" w:hAnsi="Aptos"/>
                <w:color w:val="222222"/>
                <w:sz w:val="16"/>
              </w:rPr>
              <w:t xml:space="preserve"> — monitorizar; rever bateria de perguntas sensíveis</w:t>
            </w:r>
          </w:p>
        </w:tc>
      </w:tr>
      <w:tr>
        <w:trPr>
          <w:cantSplit/>
        </w:trPr>
        <w:tc>
          <w:tcPr>
            <w:tcW w:type="dxa" w:w="6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R5</w:t>
            </w:r>
          </w:p>
        </w:tc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Uso por menores (autodeclaração falsa)</w:t>
            </w:r>
          </w:p>
        </w:tc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M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M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declaração 18+ com prova; suspensão perante indícios; sem marketing dirigido a menores</w:t>
            </w:r>
          </w:p>
        </w:tc>
        <w:tc>
          <w:tcPr>
            <w:tcW w:type="dxa" w:w="3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6"/>
              </w:rPr>
              <w:t>Médio-baixo</w:t>
            </w:r>
            <w:r>
              <w:rPr>
                <w:rFonts w:ascii="Aptos" w:hAnsi="Aptos"/>
                <w:color w:val="222222"/>
                <w:sz w:val="16"/>
              </w:rPr>
              <w:t xml:space="preserve"> (limite conhecido e documentado)</w:t>
            </w:r>
          </w:p>
        </w:tc>
      </w:tr>
      <w:tr>
        <w:trPr>
          <w:cantSplit/>
        </w:trPr>
        <w:tc>
          <w:tcPr>
            <w:tcW w:type="dxa" w:w="6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R6</w:t>
            </w:r>
          </w:p>
        </w:tc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Backups prometidos na Política ainda não contratados</w:t>
            </w:r>
          </w:p>
        </w:tc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certo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B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pendência única e conhecida; checklist de lançamento</w:t>
            </w:r>
          </w:p>
        </w:tc>
        <w:tc>
          <w:tcPr>
            <w:tcW w:type="dxa" w:w="3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6"/>
              </w:rPr>
              <w:t>Baixo</w:t>
            </w:r>
            <w:r>
              <w:rPr>
                <w:rFonts w:ascii="Aptos" w:hAnsi="Aptos"/>
                <w:color w:val="222222"/>
                <w:sz w:val="16"/>
              </w:rPr>
              <w:t xml:space="preserve"> — fechar com Supabase Pro</w:t>
            </w:r>
          </w:p>
        </w:tc>
      </w:tr>
      <w:tr>
        <w:trPr>
          <w:cantSplit/>
        </w:trPr>
        <w:tc>
          <w:tcPr>
            <w:tcW w:type="dxa" w:w="6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R7</w:t>
            </w:r>
          </w:p>
        </w:tc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Dependência de fornecedor único de IA</w:t>
            </w:r>
          </w:p>
        </w:tc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M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B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erro tratado com estorno automático da quota; retry; sem dados retidos no fornecedor</w:t>
            </w:r>
          </w:p>
        </w:tc>
        <w:tc>
          <w:tcPr>
            <w:tcW w:type="dxa" w:w="3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6"/>
              </w:rPr>
              <w:t>Baixo</w:t>
            </w:r>
          </w:p>
        </w:tc>
      </w:tr>
      <w:tr>
        <w:trPr>
          <w:cantSplit/>
        </w:trPr>
        <w:tc>
          <w:tcPr>
            <w:tcW w:type="dxa" w:w="6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R8</w:t>
            </w:r>
          </w:p>
        </w:tc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Ausência de Encarregado/DPO designado</w:t>
            </w:r>
          </w:p>
        </w:tc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—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M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canal de privacidade existe (contact@)</w:t>
            </w:r>
          </w:p>
        </w:tc>
        <w:tc>
          <w:tcPr>
            <w:tcW w:type="dxa" w:w="3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6"/>
              </w:rPr>
              <w:t>Baixo</w:t>
            </w:r>
            <w:r>
              <w:rPr>
                <w:rFonts w:ascii="Aptos" w:hAnsi="Aptos"/>
                <w:color w:val="222222"/>
                <w:sz w:val="16"/>
              </w:rPr>
              <w:t xml:space="preserve"> — canal ativo; necessidade de designação será reavaliada por escala, risco e enquadramento</w:t>
            </w:r>
          </w:p>
        </w:tc>
      </w:tr>
      <w:tr>
        <w:trPr>
          <w:cantSplit/>
        </w:trPr>
        <w:tc>
          <w:tcPr>
            <w:tcW w:type="dxa" w:w="6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R9</w:t>
            </w:r>
          </w:p>
        </w:tc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Prestador de IA altera política de dados</w:t>
            </w:r>
          </w:p>
        </w:tc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B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M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políticas arquivadas com data; revisão periódica anual sugerida</w:t>
            </w:r>
          </w:p>
        </w:tc>
        <w:tc>
          <w:tcPr>
            <w:tcW w:type="dxa" w:w="3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6"/>
              </w:rPr>
              <w:t>Baixo</w:t>
            </w:r>
          </w:p>
        </w:tc>
      </w:tr>
    </w:tbl>
    <w:p>
      <w:r>
        <w:rPr>
          <w:rFonts w:ascii="Aptos" w:hAnsi="Aptos"/>
          <w:color w:val="222222"/>
          <w:sz w:val="22"/>
        </w:rPr>
        <w:t>Nenhum risco residual classificado como Alto. Os dois "Médios" (R4, R5) são inerentes ao tipo de serviço e estão mitigados ao nível praticável; ficam sob monitorização.</w:t>
      </w:r>
    </w:p>
    <w:p>
      <w:pPr>
        <w:pStyle w:val="Heading2"/>
      </w:pPr>
      <w:r>
        <w:t>6. Consulta a titulares / partes</w:t>
      </w:r>
    </w:p>
    <w:p>
      <w:r>
        <w:rPr>
          <w:rFonts w:ascii="Aptos" w:hAnsi="Aptos"/>
          <w:color w:val="222222"/>
          <w:sz w:val="22"/>
        </w:rPr>
        <w:t>Não realizada (serviço em piloto). A transparência é assegurada pelos documentos públicos e pelos avisos permanentes na interface.</w:t>
      </w:r>
    </w:p>
    <w:p>
      <w:pPr>
        <w:pStyle w:val="Heading2"/>
      </w:pPr>
      <w:r>
        <w:t>7. Recomendações da equipa técnica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 xml:space="preserve">Ativar </w:t>
      </w:r>
      <w:r>
        <w:rPr>
          <w:rFonts w:ascii="Aptos" w:hAnsi="Aptos"/>
          <w:b/>
          <w:color w:val="222222"/>
          <w:sz w:val="22"/>
        </w:rPr>
        <w:t>Supabase Pro</w:t>
      </w:r>
      <w:r>
        <w:rPr>
          <w:rFonts w:ascii="Aptos" w:hAnsi="Aptos"/>
          <w:color w:val="222222"/>
          <w:sz w:val="22"/>
        </w:rPr>
        <w:t xml:space="preserve"> antes da divulgação (fecha R6 e a frase do §9).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 xml:space="preserve">Arquivar (PDF datado) os </w:t>
      </w:r>
      <w:r>
        <w:rPr>
          <w:rFonts w:ascii="Aptos" w:hAnsi="Aptos"/>
          <w:b/>
          <w:color w:val="222222"/>
          <w:sz w:val="22"/>
        </w:rPr>
        <w:t>DPAs/termos</w:t>
      </w:r>
      <w:r>
        <w:rPr>
          <w:rFonts w:ascii="Aptos" w:hAnsi="Aptos"/>
          <w:color w:val="222222"/>
          <w:sz w:val="22"/>
        </w:rPr>
        <w:t xml:space="preserve"> dos 5 fornecedores (fecha R3).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 xml:space="preserve">Reavaliar anualmente a necessidade de </w:t>
      </w:r>
      <w:r>
        <w:rPr>
          <w:rFonts w:ascii="Aptos" w:hAnsi="Aptos"/>
          <w:b/>
          <w:color w:val="222222"/>
          <w:sz w:val="22"/>
        </w:rPr>
        <w:t>designação formal de Encarregado/DPO</w:t>
      </w:r>
      <w:r>
        <w:rPr>
          <w:rFonts w:ascii="Aptos" w:hAnsi="Aptos"/>
          <w:color w:val="222222"/>
          <w:sz w:val="22"/>
        </w:rPr>
        <w:t xml:space="preserve"> (R8), mantendo o canal de atendimento ativo.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 xml:space="preserve">Publicar a linha do </w:t>
      </w:r>
      <w:r>
        <w:rPr>
          <w:rFonts w:ascii="Aptos" w:hAnsi="Aptos"/>
          <w:b/>
          <w:color w:val="222222"/>
          <w:sz w:val="22"/>
        </w:rPr>
        <w:t>Resend</w:t>
      </w:r>
      <w:r>
        <w:rPr>
          <w:rFonts w:ascii="Aptos" w:hAnsi="Aptos"/>
          <w:color w:val="222222"/>
          <w:sz w:val="22"/>
        </w:rPr>
        <w:t xml:space="preserve"> nos Subprocessadores (pasta C).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 xml:space="preserve">Rodar a </w:t>
      </w:r>
      <w:r>
        <w:rPr>
          <w:rFonts w:ascii="Aptos" w:hAnsi="Aptos"/>
          <w:b/>
          <w:color w:val="222222"/>
          <w:sz w:val="22"/>
        </w:rPr>
        <w:t>bateria de perguntas sensíveis</w:t>
      </w:r>
      <w:r>
        <w:rPr>
          <w:rFonts w:ascii="Aptos" w:hAnsi="Aptos"/>
          <w:color w:val="222222"/>
          <w:sz w:val="22"/>
        </w:rPr>
        <w:t xml:space="preserve"> à IA antes da divulgação (R4) e</w:t>
      </w:r>
    </w:p>
    <w:p>
      <w:r>
        <w:rPr>
          <w:rFonts w:ascii="Aptos" w:hAnsi="Aptos"/>
          <w:color w:val="222222"/>
          <w:sz w:val="22"/>
        </w:rPr>
        <w:t xml:space="preserve">   repetir a cada mudança relevante de prompt/modelo.</w:t>
      </w:r>
    </w:p>
    <w:p>
      <w:pPr>
        <w:pStyle w:val="ListNumber"/>
      </w:pPr>
      <w:r>
        <w:rPr>
          <w:rFonts w:ascii="Aptos" w:hAnsi="Aptos"/>
          <w:color w:val="222222"/>
          <w:sz w:val="22"/>
        </w:rPr>
        <w:t>Rever este RIPD anualmente ou a cada mudança material (novo fornecedor,</w:t>
      </w:r>
    </w:p>
    <w:p>
      <w:r>
        <w:rPr>
          <w:rFonts w:ascii="Aptos" w:hAnsi="Aptos"/>
          <w:color w:val="222222"/>
          <w:sz w:val="22"/>
        </w:rPr>
        <w:t xml:space="preserve">   novo mercado, novo tipo de dado).</w:t>
      </w:r>
    </w:p>
    <w:p>
      <w:pPr>
        <w:pStyle w:val="Heading2"/>
      </w:pPr>
      <w:r>
        <w:t>8. Parecer jurídico e aprovação</w:t>
      </w:r>
    </w:p>
    <w:p>
      <w:r>
        <w:rPr>
          <w:rFonts w:ascii="Aptos" w:hAnsi="Aptos"/>
          <w:color w:val="222222"/>
          <w:sz w:val="22"/>
        </w:rPr>
        <w:t>Espaço reservado ao parecer independente da revisão jurídica e às assinaturas de aprovação.</w:t>
      </w:r>
    </w:p>
    <w:p>
      <w:pPr>
        <w:pStyle w:val="ListBullet"/>
      </w:pPr>
      <w:r>
        <w:rPr>
          <w:rFonts w:ascii="Aptos" w:hAnsi="Aptos"/>
          <w:color w:val="222222"/>
          <w:sz w:val="22"/>
        </w:rPr>
        <w:t>Enquadramento das bases legais (secção 3): ______</w:t>
      </w:r>
    </w:p>
    <w:p>
      <w:pPr>
        <w:pStyle w:val="ListBullet"/>
      </w:pPr>
      <w:r>
        <w:rPr>
          <w:rFonts w:ascii="Aptos" w:hAnsi="Aptos"/>
          <w:color w:val="222222"/>
          <w:sz w:val="22"/>
        </w:rPr>
        <w:t>Suficiência das medidas (secção 4) face aos riscos (secção 5): ______</w:t>
      </w:r>
    </w:p>
    <w:p>
      <w:pPr>
        <w:pStyle w:val="ListBullet"/>
      </w:pPr>
      <w:r>
        <w:rPr>
          <w:rFonts w:ascii="Aptos" w:hAnsi="Aptos"/>
          <w:color w:val="222222"/>
          <w:sz w:val="22"/>
        </w:rPr>
        <w:t>Necessidade de consulta à ANPD/medidas adicionais: 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8"/>
        <w:gridCol w:w="3348"/>
        <w:gridCol w:w="3348"/>
        <w:gridCol w:w="3348"/>
      </w:tblGrid>
      <w:tr>
        <w:trPr>
          <w:tblHeader w:val="true"/>
        </w:trPr>
        <w:tc>
          <w:tcPr>
            <w:tcW w:type="dxa" w:w="720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Papel</w:t>
            </w:r>
          </w:p>
        </w:tc>
        <w:tc>
          <w:tcPr>
            <w:tcW w:type="dxa" w:w="6160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Nome</w:t>
            </w:r>
          </w:p>
        </w:tc>
        <w:tc>
          <w:tcPr>
            <w:tcW w:type="dxa" w:w="2678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Data</w:t>
            </w:r>
          </w:p>
        </w:tc>
        <w:tc>
          <w:tcPr>
            <w:tcW w:type="dxa" w:w="3833"/>
            <w:shd w:fill="EADC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Assinatura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Controladora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Jussara Derly Rodrigues de Oliveira Grota</w:t>
            </w:r>
          </w:p>
        </w:tc>
        <w:tc>
          <w:tcPr>
            <w:tcW w:type="dxa" w:w="2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3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22222"/>
                <w:sz w:val="16"/>
              </w:rPr>
              <w:t>Revisão jurídica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26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3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181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Veleda Tarô Simbólico · 13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77777"/>
        <w:sz w:val="16"/>
      </w:rPr>
      <w:t>VELEDA  |  DOCUMENTAÇÃO JURÍDICA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B17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A5A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B17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