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Georgia" w:hAnsi="Georgia"/>
          <w:b/>
          <w:i w:val="0"/>
          <w:color w:val="A67026"/>
          <w:sz w:val="32"/>
        </w:rPr>
        <w:t>VELEDA</w:t>
      </w:r>
    </w:p>
    <w:p>
      <w:pPr>
        <w:spacing w:after="160"/>
        <w:jc w:val="center"/>
      </w:pPr>
      <w:r>
        <w:rPr>
          <w:rFonts w:ascii="Georgia" w:hAnsi="Georgia"/>
          <w:b/>
          <w:i w:val="0"/>
          <w:color w:val="5C2B3B"/>
          <w:sz w:val="56"/>
        </w:rPr>
        <w:t>Política de Privacidade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645C5E"/>
          <w:sz w:val="24"/>
        </w:rPr>
        <w:t>Como o Veleda coleta, utiliza, compartilha e protege dados pessoais</w:t>
      </w:r>
    </w:p>
    <w:p>
      <w:pPr>
        <w:shd w:fill="F7ECE7"/>
        <w:spacing w:before="180" w:after="180"/>
        <w:ind w:left="360" w:right="360"/>
      </w:pPr>
      <w:r>
        <w:rPr>
          <w:rFonts w:ascii="Aptos" w:hAnsi="Aptos"/>
          <w:b/>
          <w:i w:val="0"/>
          <w:color w:val="5C2B3B"/>
          <w:sz w:val="19"/>
        </w:rPr>
        <w:t xml:space="preserve">MINUTA PARA REVISÃO JURÍDICA. </w:t>
      </w:r>
      <w:r>
        <w:rPr>
          <w:rFonts w:ascii="Aptos" w:hAnsi="Aptos"/>
          <w:b w:val="0"/>
          <w:i w:val="0"/>
          <w:color w:val="2D2628"/>
          <w:sz w:val="19"/>
        </w:rPr>
        <w:t>Antes da publicação, preencha todos os campos entre colchetes e submeta o documento a advogado habilitado nas jurisdições de lançamento.</w:t>
      </w:r>
    </w:p>
    <w:p>
      <w:r>
        <w:br w:type="page"/>
      </w:r>
    </w:p>
    <w:p>
      <w:pPr>
        <w:pStyle w:val="Heading1"/>
      </w:pPr>
      <w:r>
        <w:t>1. Identificação e âmbito</w:t>
      </w:r>
    </w:p>
    <w:p>
      <w:r>
        <w:rPr>
          <w:rFonts w:ascii="Aptos" w:hAnsi="Aptos"/>
          <w:b w:val="0"/>
          <w:i w:val="0"/>
          <w:color w:val="2D2628"/>
          <w:sz w:val="22"/>
        </w:rPr>
        <w:t>O Veleda Tarô Simbólico (“Veleda”, “Aplicativo” ou “Serviço”) é operado por [RAZÃO SOCIAL/NOME EMPRESARIAL], inscrita no [CNPJ/NIF/NIPC] sob o nº [●], com sede em [ENDEREÇO COMPLETO], e contato geral em [E-MAIL DE SUPORTE].</w:t>
      </w:r>
    </w:p>
    <w:p>
      <w:r>
        <w:rPr>
          <w:rFonts w:ascii="Aptos" w:hAnsi="Aptos"/>
          <w:b w:val="0"/>
          <w:i w:val="0"/>
          <w:color w:val="2D2628"/>
          <w:sz w:val="22"/>
        </w:rPr>
        <w:t>Estes documentos aplicam-se ao site, aplicativo web/PWA, versões móveis, comunicações e funcionalidades relacionadas ao Veleda. Quando o Serviço for oferecido a pessoas no Brasil, aplica-se a legislação brasileira pertinente; quando oferecido a pessoas no Espaço Econômico Europeu, aplicam-se também as normas europeias obrigatórias.</w:t>
      </w:r>
    </w:p>
    <w:p>
      <w:pPr>
        <w:pStyle w:val="Heading1"/>
      </w:pPr>
      <w:r>
        <w:t>2. Quem é o controlador</w:t>
      </w:r>
    </w:p>
    <w:p>
      <w:r>
        <w:rPr>
          <w:rFonts w:ascii="Aptos" w:hAnsi="Aptos"/>
          <w:b w:val="0"/>
          <w:i w:val="0"/>
          <w:color w:val="2D2628"/>
          <w:sz w:val="22"/>
        </w:rPr>
        <w:t>O controlador é [RAZÃO SOCIAL], [CNPJ/NIF/NIPC], com endereço em [●]. Contato do encarregado/DPO ou canal de privacidade: [E-MAIL DE PRIVACIDADE]. Se houver representante na União Europeia ou no Brasil, seus dados serão indicados aqui: [REPRESENTANTE, SE APLICÁVEL].</w:t>
      </w:r>
    </w:p>
    <w:p>
      <w:pPr>
        <w:pStyle w:val="Heading1"/>
      </w:pPr>
      <w:r>
        <w:t>3. Dados que podemos tratar</w:t>
      </w:r>
    </w:p>
    <w:p>
      <w:pPr>
        <w:pStyle w:val="Heading2"/>
      </w:pPr>
      <w:r>
        <w:t>3.1 Dados fornecidos por você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cadastro: nome ou forma de tratamento, e-mail, identificador de conta e senha protegida;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perfil e preferências: idioma, país, moeda, plano e configurações;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conteúdo: perguntas, cartas selecionadas, leituras, entradas do diário, histórico e feedback;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suporte: mensagens, anexos e registros necessários para solucionar solicitações;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compra: plano, valor, moeda, status, identificador da transação e dados fiscais necessários. O número completo do cartão é tratado pelo processador de pagamento.</w:t>
      </w:r>
    </w:p>
    <w:p>
      <w:pPr>
        <w:pStyle w:val="Heading2"/>
      </w:pPr>
      <w:r>
        <w:t>3.2 Dados coletados automaticamente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endereço IP, data e hora, identificadores técnicos, navegador, sistema operacional e tipo de dispositivo;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eventos de autenticação, páginas e funcionalidades utilizadas, falhas, desempenho e registros de segurança;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cookies e armazenamento local estritamente necessários; analytics e marketing somente conforme consentimento ou outra base válida.</w:t>
      </w:r>
    </w:p>
    <w:p>
      <w:pPr>
        <w:pStyle w:val="Heading2"/>
      </w:pPr>
      <w:r>
        <w:t>3.3 Dados de terceiros</w:t>
      </w:r>
    </w:p>
    <w:p>
      <w:r>
        <w:rPr>
          <w:rFonts w:ascii="Aptos" w:hAnsi="Aptos"/>
          <w:b w:val="0"/>
          <w:i w:val="0"/>
          <w:color w:val="2D2628"/>
          <w:sz w:val="22"/>
        </w:rPr>
        <w:t>Podemos receber confirmação de pagamento da Stripe/loja de aplicativos, informações de autenticação de provedores escolhidos pelo usuário e alertas de segurança/antifraude. Não compramos bancos de dados pessoais para criar perfis ocultos.</w:t>
      </w:r>
    </w:p>
    <w:p>
      <w:pPr>
        <w:shd w:fill="F7ECE7"/>
        <w:spacing w:before="120" w:after="160"/>
        <w:ind w:left="317" w:right="317"/>
      </w:pPr>
      <w:r>
        <w:rPr>
          <w:rFonts w:ascii="Aptos" w:hAnsi="Aptos"/>
          <w:b/>
          <w:i w:val="0"/>
          <w:color w:val="5C2B3B"/>
          <w:sz w:val="22"/>
        </w:rPr>
        <w:t xml:space="preserve">DADOS SENSÍVEIS. </w:t>
      </w:r>
      <w:r>
        <w:rPr>
          <w:rFonts w:ascii="Aptos" w:hAnsi="Aptos"/>
          <w:b w:val="0"/>
          <w:i w:val="0"/>
          <w:color w:val="2D2628"/>
          <w:sz w:val="22"/>
        </w:rPr>
        <w:t>Perguntas e diário podem revelar saúde, religião, sexualidade, opiniões ou outros aspectos íntimos. Não solicitamos esses dados e recomendamos que você não os inclua. Se forem voluntariamente fornecidos, limitaremos o tratamento ao fornecimento solicitado, com salvaguardas e base jurídica adequada; poderemos remover ou bloquear conteúdo quando necessário para segurança e conformidade.</w:t>
      </w:r>
    </w:p>
    <w:p>
      <w:pPr>
        <w:pStyle w:val="Heading1"/>
      </w:pPr>
      <w:r>
        <w:t>4. Finalidades e bases legais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Criar e administrar a conta; autenticar; fornecer leituras, histórico e diário. </w:t>
      </w:r>
      <w:r>
        <w:rPr>
          <w:rFonts w:ascii="Aptos" w:hAnsi="Aptos"/>
          <w:b w:val="0"/>
          <w:i w:val="0"/>
          <w:color w:val="2D2628"/>
          <w:sz w:val="22"/>
        </w:rPr>
        <w:t>Base: Execução do contrato e medidas pré-contratuais.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Processar assinatura, faturamento, cancelamento, reembolso e prevenção de fraude. </w:t>
      </w:r>
      <w:r>
        <w:rPr>
          <w:rFonts w:ascii="Aptos" w:hAnsi="Aptos"/>
          <w:b w:val="0"/>
          <w:i w:val="0"/>
          <w:color w:val="2D2628"/>
          <w:sz w:val="22"/>
        </w:rPr>
        <w:t>Base: Execução do contrato, obrigação legal e legítimo interesse em segurança.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Enviar perguntas e contexto ao provedor de IA para gerar a leitura solicitada. </w:t>
      </w:r>
      <w:r>
        <w:rPr>
          <w:rFonts w:ascii="Aptos" w:hAnsi="Aptos"/>
          <w:b w:val="0"/>
          <w:i w:val="0"/>
          <w:color w:val="2D2628"/>
          <w:sz w:val="22"/>
        </w:rPr>
        <w:t>Base: Execução do contrato; consentimento explícito quando exigido para dados sensíveis.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Responder suporte e exercer direitos. </w:t>
      </w:r>
      <w:r>
        <w:rPr>
          <w:rFonts w:ascii="Aptos" w:hAnsi="Aptos"/>
          <w:b w:val="0"/>
          <w:i w:val="0"/>
          <w:color w:val="2D2628"/>
          <w:sz w:val="22"/>
        </w:rPr>
        <w:t>Base: Execução do contrato e obrigação legal.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Manter segurança, detectar abuso, investigar incidentes e defender direitos. </w:t>
      </w:r>
      <w:r>
        <w:rPr>
          <w:rFonts w:ascii="Aptos" w:hAnsi="Aptos"/>
          <w:b w:val="0"/>
          <w:i w:val="0"/>
          <w:color w:val="2D2628"/>
          <w:sz w:val="22"/>
        </w:rPr>
        <w:t>Base: Legítimo interesse, obrigação legal e exercício regular de direitos.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Melhorar estabilidade e experiência por métricas agregadas. </w:t>
      </w:r>
      <w:r>
        <w:rPr>
          <w:rFonts w:ascii="Aptos" w:hAnsi="Aptos"/>
          <w:b w:val="0"/>
          <w:i w:val="0"/>
          <w:color w:val="2D2628"/>
          <w:sz w:val="22"/>
        </w:rPr>
        <w:t>Base: Legítimo interesse com minimização; consentimento quando cookies não essenciais forem utilizados.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Enviar marketing e novidades. </w:t>
      </w:r>
      <w:r>
        <w:rPr>
          <w:rFonts w:ascii="Aptos" w:hAnsi="Aptos"/>
          <w:b w:val="0"/>
          <w:i w:val="0"/>
          <w:color w:val="2D2628"/>
          <w:sz w:val="22"/>
        </w:rPr>
        <w:t>Base: Consentimento ou legítimo interesse permitido, sempre com opção de oposição/descadastramento.</w:t>
      </w:r>
    </w:p>
    <w:p>
      <w:pPr>
        <w:pStyle w:val="ListBullet"/>
      </w:pPr>
      <w:r>
        <w:rPr>
          <w:rFonts w:ascii="Aptos" w:hAnsi="Aptos"/>
          <w:b/>
          <w:i w:val="0"/>
          <w:color w:val="2D2628"/>
          <w:sz w:val="22"/>
        </w:rPr>
        <w:t xml:space="preserve">Cumprir obrigações fiscais, regulatórias e ordens válidas. </w:t>
      </w:r>
      <w:r>
        <w:rPr>
          <w:rFonts w:ascii="Aptos" w:hAnsi="Aptos"/>
          <w:b w:val="0"/>
          <w:i w:val="0"/>
          <w:color w:val="2D2628"/>
          <w:sz w:val="22"/>
        </w:rPr>
        <w:t>Base: Obrigação legal/regulatória.</w:t>
      </w:r>
    </w:p>
    <w:p>
      <w:r>
        <w:rPr>
          <w:rFonts w:ascii="Aptos" w:hAnsi="Aptos"/>
          <w:b w:val="0"/>
          <w:i w:val="0"/>
          <w:color w:val="2D2628"/>
          <w:sz w:val="22"/>
        </w:rPr>
        <w:t>No Brasil, as bases serão interpretadas segundo os arts. 7º e 11 da LGPD; na União Europeia, segundo os arts. 6º e 9º do GDPR. Quando usarmos legítimo interesse, avaliaremos necessidade, proporcionalidade e impacto aos titulares. O consentimento poderá ser retirado sem afetar tratamento anterior lícito.</w:t>
      </w:r>
    </w:p>
    <w:p>
      <w:pPr>
        <w:pStyle w:val="Heading1"/>
      </w:pPr>
      <w:r>
        <w:t>5. Como funciona o processamento por IA</w:t>
      </w:r>
    </w:p>
    <w:p>
      <w:r>
        <w:rPr>
          <w:rFonts w:ascii="Aptos" w:hAnsi="Aptos"/>
          <w:b w:val="0"/>
          <w:i w:val="0"/>
          <w:color w:val="2D2628"/>
          <w:sz w:val="22"/>
        </w:rPr>
        <w:t>A pergunta, as cartas, o nome de tratamento e contexto estritamente necessário podem ser enviados ao provedor [ANTHROPIC/CONFIRMAR] para gerar a resposta. Configuraremos o serviço, sempre que disponível e contratualmente aplicável, para impedir treinamento geral com os dados do Veleda e limitar retenção do fornecedor.</w:t>
      </w:r>
    </w:p>
    <w:p>
      <w:r>
        <w:rPr>
          <w:rFonts w:ascii="Aptos" w:hAnsi="Aptos"/>
          <w:b w:val="0"/>
          <w:i w:val="0"/>
          <w:color w:val="2D2628"/>
          <w:sz w:val="22"/>
        </w:rPr>
        <w:t>Não utilizamos a leitura para tomar decisões exclusivamente automatizadas que produzam efeitos jurídicos ou impacto semelhante sobre você. A seleção e interpretação não definem crédito, emprego, seguro, saúde, elegibilidade ou direitos.</w:t>
      </w:r>
    </w:p>
    <w:p>
      <w:pPr>
        <w:pStyle w:val="Heading1"/>
      </w:pPr>
      <w:r>
        <w:t>6. Compartilhamento e operadores</w:t>
      </w:r>
    </w:p>
    <w:p>
      <w:r>
        <w:rPr>
          <w:rFonts w:ascii="Aptos" w:hAnsi="Aptos"/>
          <w:b w:val="0"/>
          <w:i w:val="0"/>
          <w:color w:val="2D2628"/>
          <w:sz w:val="22"/>
        </w:rPr>
        <w:t>Compartilhamos somente o necessário com: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Supabase ou equivalente: banco de dados, autenticação e funções de backend;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Anthropic ou provedor equivalente: geração das leituras por IA;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Stripe e/ou lojas de aplicativos: pagamento, assinatura, fraude e cobrança;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hospedagem, CDN, monitoramento, e-mail transacional, atendimento e analytics aprovados;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consultores, auditores e autoridades, quando necessário e permitido;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adquirente ou sucessor em reorganização empresarial, com continuidade das proteções.</w:t>
      </w:r>
    </w:p>
    <w:p>
      <w:r>
        <w:rPr>
          <w:rFonts w:ascii="Aptos" w:hAnsi="Aptos"/>
          <w:b w:val="0"/>
          <w:i w:val="0"/>
          <w:color w:val="2D2628"/>
          <w:sz w:val="22"/>
        </w:rPr>
        <w:t>A lista nominal atualizada de fornecedores e seus países deverá ser publicada em [URL DE SUBOPERADORES]. Não vendemos dados pessoais. Não compartilhamos perguntas ou diário para publicidade comportamental de terceiros.</w:t>
      </w:r>
    </w:p>
    <w:p>
      <w:pPr>
        <w:pStyle w:val="Heading1"/>
      </w:pPr>
      <w:r>
        <w:t>7. Transferências internacionais</w:t>
      </w:r>
    </w:p>
    <w:p>
      <w:r>
        <w:rPr>
          <w:rFonts w:ascii="Aptos" w:hAnsi="Aptos"/>
          <w:b w:val="0"/>
          <w:i w:val="0"/>
          <w:color w:val="2D2628"/>
          <w:sz w:val="22"/>
        </w:rPr>
        <w:t>Os fornecedores podem operar no Brasil, Estados Unidos, União Europeia e outros países. Adotaremos mecanismos válidos, como decisões de adequação, cláusulas-padrão contratuais, cláusulas-padrão da ANPD, regras corporativas ou outra hipótese legal, além de avaliação de segurança e minimização.</w:t>
      </w:r>
    </w:p>
    <w:p>
      <w:r>
        <w:rPr>
          <w:rFonts w:ascii="Aptos" w:hAnsi="Aptos"/>
          <w:b w:val="0"/>
          <w:i w:val="0"/>
          <w:color w:val="2D2628"/>
          <w:sz w:val="22"/>
        </w:rPr>
        <w:t>Para transferências sujeitas à LGPD, observaremos a Resolução CD/ANPD nº 19/2024 e normas posteriores. Para o GDPR, utilizaremos os mecanismos dos arts. 44 a 49, quando aplicáveis. Informações sobre a garantia utilizada poderão ser solicitadas ao canal de privacidade.</w:t>
      </w:r>
    </w:p>
    <w:p>
      <w:pPr>
        <w:pStyle w:val="Heading1"/>
      </w:pPr>
      <w:r>
        <w:t>8. Retenção e exclusão</w:t>
      </w:r>
    </w:p>
    <w:p>
      <w:r>
        <w:rPr>
          <w:rFonts w:ascii="Aptos" w:hAnsi="Aptos"/>
          <w:b w:val="0"/>
          <w:i w:val="0"/>
          <w:color w:val="2D2628"/>
          <w:sz w:val="22"/>
        </w:rPr>
        <w:t>Guardamos dados somente pelo tempo necessário às finalidades, respeitando obrigações legais e defesa de direitos. A matriz definitiva deverá ser validada tecnicamente e juridicamente antes do lançamento: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conta e perfil: durante a conta e até 30 dias após exclusão operacional, salvo obrigação ou disputa;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perguntas, leituras, histórico e diário: até exclusão pelo usuário ou encerramento da conta, com ciclo técnico de remoção de backups de até 90 dias;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registros de segurança: normalmente 6 a 12 meses, podendo ser ampliados em investigação;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registros de suporte: até 24 meses após encerramento do caso;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dados fiscais e de pagamento: pelo prazo legal aplicável;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consentimentos e solicitações de direitos: pelo prazo necessário à comprovação de conformidade e defesa de direitos.</w:t>
      </w:r>
    </w:p>
    <w:p>
      <w:r>
        <w:rPr>
          <w:rFonts w:ascii="Aptos" w:hAnsi="Aptos"/>
          <w:b w:val="0"/>
          <w:i w:val="0"/>
          <w:color w:val="2D2628"/>
          <w:sz w:val="22"/>
        </w:rPr>
        <w:t>Dados podem ser anonimizados de modo razoavelmente irreversível e utilizados para estatísticas e melhoria. Uma solicitação de exclusão não alcança dados que devam ser mantidos por obrigação legal, prevenção de fraude ou exercício de direitos, mas seu uso ficará restrito.</w:t>
      </w:r>
    </w:p>
    <w:p>
      <w:pPr>
        <w:pStyle w:val="Heading1"/>
      </w:pPr>
      <w:r>
        <w:t>9. Segurança</w:t>
      </w:r>
    </w:p>
    <w:p>
      <w:r>
        <w:rPr>
          <w:rFonts w:ascii="Aptos" w:hAnsi="Aptos"/>
          <w:b w:val="0"/>
          <w:i w:val="0"/>
          <w:color w:val="2D2628"/>
          <w:sz w:val="22"/>
        </w:rPr>
        <w:t>Adotamos medidas técnicas e organizacionais proporcionais, incluindo controle de acesso, autenticação, criptografia em trânsito, segregação por usuário, registros de auditoria, atualizações, backups, gestão de fornecedores e resposta a incidentes. Nenhum sistema é absolutamente seguro; use senha exclusiva e proteja seus dispositivos.</w:t>
      </w:r>
    </w:p>
    <w:p>
      <w:pPr>
        <w:pStyle w:val="Heading1"/>
      </w:pPr>
      <w:r>
        <w:t>10. Incidentes</w:t>
      </w:r>
    </w:p>
    <w:p>
      <w:r>
        <w:rPr>
          <w:rFonts w:ascii="Aptos" w:hAnsi="Aptos"/>
          <w:b w:val="0"/>
          <w:i w:val="0"/>
          <w:color w:val="2D2628"/>
          <w:sz w:val="22"/>
        </w:rPr>
        <w:t>Em incidente que possa gerar risco ou dano relevante, investigaremos, mitigaremos e comunicaremos titulares e autoridades quando exigido. No Brasil, seguiremos as regras da ANPD; na União Europeia, os arts. 33 e 34 do GDPR, inclusive o prazo de 72 horas à autoridade quando aplicável.</w:t>
      </w:r>
    </w:p>
    <w:p>
      <w:pPr>
        <w:pStyle w:val="Heading1"/>
      </w:pPr>
      <w:r>
        <w:t>11. Cookies e tecnologias semelhantes</w:t>
      </w:r>
    </w:p>
    <w:p>
      <w:r>
        <w:rPr>
          <w:rFonts w:ascii="Aptos" w:hAnsi="Aptos"/>
          <w:b w:val="0"/>
          <w:i w:val="0"/>
          <w:color w:val="2D2628"/>
          <w:sz w:val="22"/>
        </w:rPr>
        <w:t>Utilizamos cookies ou armazenamento local estritamente necessários para login, segurança, preferências e funcionamento. Na primeira visita, o Veleda exibirá um painel de cookies com opções igualmente acessíveis para “Aceitar todos”, “Rejeitar não essenciais” e “Configurar”. Cookies de analytics, personalização ou marketing permanecerão bloqueados até uma escolha válida. O usuário poderá rever ou retirar o consentimento a qualquer momento em “Privacidade” → “Preferências de cookies”, sem prejuízo das funções essenciais.</w:t>
      </w:r>
    </w:p>
    <w:p>
      <w:r>
        <w:rPr>
          <w:rFonts w:ascii="Aptos" w:hAnsi="Aptos"/>
          <w:b w:val="0"/>
          <w:i w:val="0"/>
          <w:color w:val="2D2628"/>
          <w:sz w:val="22"/>
        </w:rPr>
        <w:t>A Política de Cookies deverá listar nome, fornecedor, finalidade e duração de cada tecnologia após auditoria do aplicativo. Não devem ser inseridos rastreadores não documentados.</w:t>
      </w:r>
    </w:p>
    <w:p>
      <w:pPr>
        <w:pStyle w:val="Heading1"/>
      </w:pPr>
      <w:r>
        <w:t>12. Direitos dos titulares</w:t>
      </w:r>
    </w:p>
    <w:p>
      <w:r>
        <w:rPr>
          <w:rFonts w:ascii="Aptos" w:hAnsi="Aptos"/>
          <w:b w:val="0"/>
          <w:i w:val="0"/>
          <w:color w:val="2D2628"/>
          <w:sz w:val="22"/>
        </w:rPr>
        <w:t>Dependendo da jurisdição, você pode solicitar: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confirmação e acesso;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correção;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anonimização, bloqueio ou eliminação;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portabilidade, quando aplicável;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informação sobre compartilhamentos;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retirada de consentimento;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oposição e restrição do tratamento;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revisão de decisão exclusivamente automatizada;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explicação sobre critérios e consequências relevantes;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reclamação à ANPD, à CNPD portuguesa ou à autoridade competente;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não discriminação pelo exercício de direitos.</w:t>
      </w:r>
    </w:p>
    <w:p>
      <w:r>
        <w:rPr>
          <w:rFonts w:ascii="Aptos" w:hAnsi="Aptos"/>
          <w:b w:val="0"/>
          <w:i w:val="0"/>
          <w:color w:val="2D2628"/>
          <w:sz w:val="22"/>
        </w:rPr>
        <w:t>Solicitações devem ser enviadas a [E-MAIL DE PRIVACIDADE]. Poderemos confirmar identidade de forma proporcional. Responderemos nos prazos legais; pedidos complexos poderão exigir extensão permitida, com justificativa. Se negarmos total ou parcialmente, explicaremos a razão e os meios de recurso.</w:t>
      </w:r>
    </w:p>
    <w:p>
      <w:pPr>
        <w:pStyle w:val="Heading1"/>
      </w:pPr>
      <w:r>
        <w:t>13. Crianças e adolescentes</w:t>
      </w:r>
    </w:p>
    <w:p>
      <w:r>
        <w:rPr>
          <w:rFonts w:ascii="Aptos" w:hAnsi="Aptos"/>
          <w:b w:val="0"/>
          <w:i w:val="0"/>
          <w:color w:val="2D2628"/>
          <w:sz w:val="22"/>
        </w:rPr>
        <w:t>O Serviço é destinado a maiores de 18 anos. Não coletamos intencionalmente dados de crianças ou adolescentes. Pais ou responsáveis que identifiquem uso por menor devem contatar [E-MAIL DE PRIVACIDADE] para investigação e exclusão.</w:t>
      </w:r>
    </w:p>
    <w:p>
      <w:pPr>
        <w:pStyle w:val="Heading1"/>
      </w:pPr>
      <w:r>
        <w:t>14. Privacidade por padrão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Diário e histórico serão privados por padrão e não indexados publicamente.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A equipe não acessará conteúdo íntimo salvo necessidade autorizada e registrada de suporte, segurança ou obrigação legal.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Ambientes de desenvolvimento e demonstração não deverão usar conteúdo real identificável.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Novos fornecedores, analytics ou usos de IA exigirão avaliação de privacidade e atualização deste aviso.</w:t>
      </w:r>
    </w:p>
    <w:p>
      <w:pPr>
        <w:pStyle w:val="Heading1"/>
      </w:pPr>
      <w:r>
        <w:t>15. Alterações desta Política</w:t>
      </w:r>
    </w:p>
    <w:p>
      <w:r>
        <w:rPr>
          <w:rFonts w:ascii="Aptos" w:hAnsi="Aptos"/>
          <w:b w:val="0"/>
          <w:i w:val="0"/>
          <w:color w:val="2D2628"/>
          <w:sz w:val="22"/>
        </w:rPr>
        <w:t>Atualizações materiais serão comunicadas por meio adequado. Se uma nova finalidade exigir consentimento, ele será solicitado antes do tratamento. Manteremos data e versão e, quando viável, histórico das versões anteriores.</w:t>
      </w:r>
    </w:p>
    <w:p>
      <w:pPr>
        <w:pStyle w:val="Heading1"/>
      </w:pPr>
      <w:r>
        <w:t>16. Contato e autoridades</w:t>
      </w:r>
    </w:p>
    <w:p>
      <w:r>
        <w:rPr>
          <w:rFonts w:ascii="Aptos" w:hAnsi="Aptos"/>
          <w:b w:val="0"/>
          <w:i w:val="0"/>
          <w:color w:val="2D2628"/>
          <w:sz w:val="22"/>
        </w:rPr>
        <w:t>Controlador: [RAZÃO SOCIAL] · [CNPJ/NIF/NIPC] · [ENDEREÇO] · Privacidade/DPO: [E-MAIL]. Brasil: Autoridade Nacional de Proteção de Dados — ANPD. Portugal: Comissão Nacional de Proteção de Dados — CNPD. O titular também pode procurar a autoridade do país europeu onde reside, trabalha ou considera ter ocorrido violação.</w:t>
      </w:r>
    </w:p>
    <w:p>
      <w:pPr>
        <w:pStyle w:val="Heading1"/>
      </w:pPr>
      <w:r>
        <w:t>Anexo A — fornecedores a confirmar antes da publicação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Supabase: confirmar região do projeto, suboperadores e retenção de logs.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Anthropic: confirmar produto/API, política de retenção e cláusula de não treinamento.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Stripe: confirmar entidade contratante, países e dados fiscais processados.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Hospedagem/Vercel ou equivalente: confirmar região, logs e CDN.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E-mail, analytics, monitoramento de erros e suporte: listar ou remover se não utilizados.</w:t>
      </w:r>
    </w:p>
    <w:p>
      <w:pPr>
        <w:pStyle w:val="Heading1"/>
      </w:pPr>
      <w:r>
        <w:t>Anexo B — referências regulatórias para revisão jurídica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Lei nº 13.709/2018 — Lei Geral de Proteção de Dados Pessoais (LGPD).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Resolução CD/ANPD nº 19/2024 — Transferência Internacional de Dados.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Regulamento (UE) 2016/679 — General Data Protection Regulation (GDPR).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Código de Defesa do Consumidor brasileiro e Decreto nº 7.962/2013.</w:t>
      </w:r>
    </w:p>
    <w:p>
      <w:pPr>
        <w:pStyle w:val="ListBullet"/>
      </w:pPr>
      <w:r>
        <w:rPr>
          <w:rFonts w:ascii="Aptos" w:hAnsi="Aptos"/>
          <w:b w:val="0"/>
          <w:i w:val="0"/>
          <w:color w:val="2D2628"/>
          <w:sz w:val="22"/>
        </w:rPr>
        <w:t>Diretiva 2011/83/UE sobre direitos dos consumidores e normas nacionais de transposição.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5C5E"/>
        <w:sz w:val="16"/>
      </w:rPr>
      <w:t>Veleda Tarô Simbólico  |  versão 1.0  |  17 de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45C5E"/>
        <w:sz w:val="17"/>
      </w:rPr>
      <w:t>VELEDA  · 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2D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C2B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C2B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70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1" w:lineRule="auto"/>
      <w:contextualSpacing/>
    </w:pPr>
    <w:rPr>
      <w:rFonts w:ascii="Aptos" w:hAnsi="Aptos"/>
      <w:color w:val="2D262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1" w:lineRule="auto"/>
      <w:contextualSpacing/>
    </w:pPr>
    <w:rPr>
      <w:rFonts w:ascii="Aptos" w:hAnsi="Aptos"/>
      <w:color w:val="2D262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