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Progress Report - 7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 1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6th April 2022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Montserrat" w:cs="Montserrat" w:eastAsia="Montserrat" w:hAnsi="Montserrat"/>
          <w:b w:val="1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Name: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u w:val="single"/>
          <w:rtl w:val="0"/>
        </w:rPr>
        <w:t xml:space="preserve">Bug Smashers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/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Details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Moksh Doshi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Jaimik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Nandish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Jenil Bagadiya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2022 Winter Semester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Tasks Performed in the week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Applied various algorithm to the processed dataset like: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LDA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Outcomes of the tasks performed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resulted in an accuracy of 71.055% which is almost similar to that of KNN with K=100 i.e. 71% but marginally smaller than naive bayes done last week having accuracy of 71.911%.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48250" cy="42481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48125" cy="19526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Vector Machine (SVM) resulted in an accuracy of 72.479% which is highest among all algorithms processed till now beating the next best of 72.27%.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4152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1981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Discriminant Analysis (LDA) resulted in an accuracy of 71.991% which is among the average accuracy we have received till now and is the last algorithm we worked on.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41719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20383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Tasks to be performed in the upcoming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and apply some methods of dimensionality reduction like PCA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uo3igeNMADzBlO5sHgr8tvi+w==">AMUW2mUZ8txa3UKiSYXS6vufemLE81CgKokDaPdeKhdFIl4XY1Ddd/OJl6mHU11vhGsySvJtAcWxrsDrnP9dn9uchi0pY8kWk8ahO1x6JmTN2QZJ0r/OLkwptkY+nyownHk27N/frTkpnSoADxvHT1tjU2ctQm80Gg==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