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Arbeitsvertrag</w:t>
      </w:r>
    </w:p>
    <w:p>
      <w:r>
        <w:t xml:space="preserve">zwischen der Beispiel Logistik GmbH, Hafenstraße 4, 20457 Hamburg, und Herrn Max Mustermann, Elbchaussee 210, 22605 Hamburg. Synthetisches Demonstrationsdokument ohne reale Personen.</w:t>
      </w:r>
    </w:p>
    <w:p>
      <w:pPr>
        <w:pStyle w:val="Heading2"/>
      </w:pPr>
      <w:r>
        <w:t xml:space="preserve">Ziffer 1 Vertragsgegenstand und Beginn</w:t>
      </w:r>
    </w:p>
    <w:p>
      <w:r>
        <w:t xml:space="preserve">Herr Mustermann wird ab dem 1. November 2026 als Speditionskaufmann eingestellt. Das Arbeitsverhältnis ist auf 24 Monate befristet; die Befristung erfolgt ohne Sachgrund gemäß § 14 Absatz 2 TzBfG.</w:t>
      </w:r>
    </w:p>
    <w:p>
      <w:pPr>
        <w:pStyle w:val="Heading2"/>
      </w:pPr>
      <w:r>
        <w:t xml:space="preserve">Ziffer 2 Arbeitszeit und Vergütung</w:t>
      </w:r>
    </w:p>
    <w:p>
      <w:r>
        <w:t xml:space="preserve">Die regelmäßige wöchentliche Arbeitszeit beträgt 40 Stunden. Die monatliche Bruttovergütung beträgt 4.200 Euro. Überstunden werden mit einem Zuschlag von 25 Prozent vergütet oder in Freizeit ausgeglichen.</w:t>
      </w:r>
    </w:p>
    <w:p>
      <w:pPr>
        <w:pStyle w:val="Heading2"/>
      </w:pPr>
      <w:r>
        <w:t xml:space="preserve">Ziffer 3 Probezeit</w:t>
      </w:r>
    </w:p>
    <w:p>
      <w:r>
        <w:t xml:space="preserve">Die ersten drei Monate gelten als Probezeit. Während der Probezeit kann das Arbeitsverhältnis beiderseits mit einer Frist von zwei Wochen gekündigt werden.</w:t>
      </w:r>
    </w:p>
    <w:p>
      <w:pPr>
        <w:pStyle w:val="Heading2"/>
      </w:pPr>
      <w:r>
        <w:t xml:space="preserve">Ziffer 4 Urlaub</w:t>
      </w:r>
    </w:p>
    <w:p>
      <w:r>
        <w:t xml:space="preserve">Der Urlaubsanspruch beträgt 24 Arbeitstage im Kalenderjahr. Urlaub ist rechtzeitig mit der Disposition abzustimmen.</w:t>
      </w:r>
    </w:p>
    <w:p>
      <w:pPr>
        <w:pStyle w:val="Heading2"/>
      </w:pPr>
      <w:r>
        <w:t xml:space="preserve">Ziffer 5 Verschwiegenheit</w:t>
      </w:r>
    </w:p>
    <w:p>
      <w:r>
        <w:t xml:space="preserve">Über Geschäfts- und Betriebsgeheimnisse sowie Kundendaten ist auch nach dem Ausscheiden Stillschweigen zu bewahren.</w:t>
      </w:r>
    </w:p>
    <w:p>
      <w:pPr>
        <w:pStyle w:val="Heading2"/>
      </w:pPr>
      <w:r>
        <w:t xml:space="preserve">Ziffer 6 Kündigung</w:t>
      </w:r>
    </w:p>
    <w:p>
      <w:r>
        <w:t xml:space="preserve">Nach der Probezeit gilt beiderseits eine Kündigungsfrist von vier Wochen zum Fünfzehnten oder zum Ende eines Kalendermonats. Die ordentliche Kündigung während der Befristung ist zulässig. Jede Kündigung bedarf der Schriftform.</w:t>
      </w:r>
    </w:p>
    <w:p>
      <w:pPr>
        <w:pStyle w:val="Heading2"/>
      </w:pPr>
      <w:r>
        <w:t xml:space="preserve">Ziffer 7 Nebentätigkeit</w:t>
      </w:r>
    </w:p>
    <w:p>
      <w:r>
        <w:t xml:space="preserve">Nebentätigkeiten sind der Gesellschaft vor Aufnahme schriftlich anzuzeigen und dürfen betriebliche Interessen nicht beeinträchtigen.</w:t>
      </w:r>
    </w:p>
    <w:p>
      <w:pPr>
        <w:pStyle w:val="Heading2"/>
      </w:pPr>
      <w:r>
        <w:t xml:space="preserve">Ziffer 8 Schlussbestimmungen</w:t>
      </w:r>
    </w:p>
    <w:p>
      <w:r>
        <w:t xml:space="preserve">Änderungen und Ergänzungen bedürfen der Schriftform. Es gilt deutsches Recht. Sollten einzelne Bestimmungen unwirksam sein, bleibt der Vertrag im Übrigen unberührt.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2026-07-03T20:36:15.859Z</dcterms:created>
  <dcterms:modified xsi:type="dcterms:W3CDTF">2026-07-03T20:36:15.859Z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