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30969" w:rsidR="00C57D80" w:rsidP="008F75D0" w:rsidRDefault="00C57D80" w14:paraId="65D87E74" w14:textId="77777777">
      <w:pPr>
        <w:pStyle w:val="Heading1"/>
        <w:jc w:val="center"/>
        <w:rPr>
          <w:rFonts w:ascii="Arial" w:hAnsi="Arial" w:cs="Arial"/>
          <w:lang w:val="en-US"/>
        </w:rPr>
      </w:pPr>
      <w:r w:rsidRPr="00030969">
        <w:rPr>
          <w:rFonts w:ascii="Arial" w:hAnsi="Arial" w:cs="Arial"/>
          <w:lang w:val="en-US"/>
        </w:rPr>
        <w:t>Walmart’s Smart Growth Engine</w:t>
      </w:r>
    </w:p>
    <w:p w:rsidRPr="00030969" w:rsidR="00C57D80" w:rsidP="008F75D0" w:rsidRDefault="00C57D80" w14:paraId="3D780CFF" w14:textId="77777777">
      <w:pPr>
        <w:pStyle w:val="Heading2"/>
        <w:jc w:val="center"/>
        <w:rPr>
          <w:rFonts w:ascii="Arial" w:hAnsi="Arial" w:cs="Arial"/>
          <w:i/>
          <w:lang w:val="en-US"/>
        </w:rPr>
      </w:pPr>
      <w:r w:rsidRPr="00030969">
        <w:rPr>
          <w:rFonts w:ascii="Arial" w:hAnsi="Arial" w:cs="Arial"/>
          <w:i/>
          <w:lang w:val="en-US"/>
        </w:rPr>
        <w:t>A Real-Time Business Intelligence Framework for Strategic Retail Growth</w:t>
      </w:r>
    </w:p>
    <w:p w:rsidRPr="00030969" w:rsidR="00C57D80" w:rsidP="008B3EBD" w:rsidRDefault="00C57D80" w14:paraId="419758D8" w14:textId="77777777">
      <w:pPr>
        <w:spacing w:before="100" w:beforeAutospacing="1" w:after="100" w:afterAutospacing="1"/>
        <w:jc w:val="both"/>
        <w:outlineLvl w:val="2"/>
        <w:rPr>
          <w:rFonts w:ascii="Arial" w:hAnsi="Arial" w:cs="Arial"/>
          <w:b/>
          <w:bCs/>
          <w:lang w:val="en-US"/>
          <w14:ligatures w14:val="none"/>
        </w:rPr>
      </w:pPr>
      <w:r w:rsidRPr="00030969">
        <w:rPr>
          <w:rFonts w:ascii="Arial" w:hAnsi="Arial" w:cs="Arial"/>
          <w:b/>
          <w:bCs/>
          <w:lang w:val="en-US"/>
          <w14:ligatures w14:val="none"/>
        </w:rPr>
        <w:t>Executive Summary</w:t>
      </w:r>
    </w:p>
    <w:p w:rsidRPr="00030969" w:rsidR="00C57D80" w:rsidP="008B3EBD" w:rsidRDefault="00C57D80" w14:paraId="663837E0" w14:textId="32F1EC63">
      <w:p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This report presents a fully integrated, data-driven Business Intelligence (BI) framework for Walmart Canada, designed and executed using synthetic yet realistic data. Our solution connects five key business pillars—Sales Optimization, Inventory Management, Real Estate Development, eCommerce Performance, and Employee Benefits—using a unified star schema data model and visualized through Power BI dashboards.</w:t>
      </w:r>
    </w:p>
    <w:p w:rsidRPr="00030969" w:rsidR="00C57D80" w:rsidP="008835D6" w:rsidRDefault="00C57D80" w14:paraId="2B5594DC" w14:textId="14FFA588">
      <w:pPr>
        <w:spacing w:before="100" w:beforeAutospacing="1" w:after="100" w:afterAutospacing="1"/>
        <w:jc w:val="both"/>
        <w:rPr>
          <w:rFonts w:ascii="Arial" w:hAnsi="Arial" w:cs="Arial"/>
          <w:lang w:val="en-US"/>
          <w14:ligatures w14:val="none"/>
        </w:rPr>
      </w:pPr>
      <w:r w:rsidRPr="00030969" w:rsidR="00C57D80">
        <w:rPr>
          <w:rFonts w:ascii="Arial" w:hAnsi="Arial" w:cs="Arial"/>
          <w:lang w:val="en-US"/>
          <w14:ligatures w14:val="none"/>
        </w:rPr>
        <w:t>The result: a dynamic decision-support system that empowers Walmart to identify opportunities, mitigate risks, and execute strategic initiatives with real-time precision.</w:t>
      </w:r>
      <w:r w:rsidRPr="00030969" w:rsidR="00371314">
        <w:rPr>
          <w:rFonts w:ascii="Arial" w:hAnsi="Arial" w:cs="Arial"/>
          <w:lang w:val="en-US"/>
          <w14:ligatures w14:val="none"/>
        </w:rPr>
        <w:t>/</w:t>
      </w:r>
    </w:p>
    <w:p w:rsidR="3F9C8124" w:rsidP="3F9C8124" w:rsidRDefault="3F9C8124" w14:paraId="4F8F7C41" w14:textId="07B8A806">
      <w:pPr>
        <w:spacing w:beforeAutospacing="on" w:afterAutospacing="on"/>
        <w:jc w:val="both"/>
        <w:outlineLvl w:val="2"/>
        <w:rPr>
          <w:rFonts w:ascii="Arial" w:hAnsi="Arial" w:cs="Arial"/>
          <w:b w:val="1"/>
          <w:bCs w:val="1"/>
          <w:lang w:val="en-US"/>
        </w:rPr>
      </w:pPr>
    </w:p>
    <w:p w:rsidRPr="00030969" w:rsidR="00C57D80" w:rsidP="008B3EBD" w:rsidRDefault="00C57D80" w14:paraId="0D3C89A0" w14:textId="77777777">
      <w:pPr>
        <w:spacing w:before="100" w:beforeAutospacing="1" w:after="100" w:afterAutospacing="1"/>
        <w:jc w:val="both"/>
        <w:outlineLvl w:val="2"/>
        <w:rPr>
          <w:rFonts w:ascii="Arial" w:hAnsi="Arial" w:cs="Arial"/>
          <w:b/>
          <w:bCs/>
          <w:lang w:val="en-US"/>
          <w14:ligatures w14:val="none"/>
        </w:rPr>
      </w:pPr>
      <w:r w:rsidRPr="00030969">
        <w:rPr>
          <w:rFonts w:ascii="Arial" w:hAnsi="Arial" w:cs="Arial"/>
          <w:b/>
          <w:bCs/>
          <w:lang w:val="en-US"/>
          <w14:ligatures w14:val="none"/>
        </w:rPr>
        <w:t>Framework Assumptions</w:t>
      </w:r>
    </w:p>
    <w:p w:rsidRPr="00030969" w:rsidR="00C57D80" w:rsidP="008B3EBD" w:rsidRDefault="00C57D80" w14:paraId="66788076" w14:textId="77777777">
      <w:pPr>
        <w:numPr>
          <w:ilvl w:val="0"/>
          <w:numId w:val="4"/>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All data used is synthetic, generated using Python (Pandas, Faker, NumPy) to simulate realistic operations.</w:t>
      </w:r>
    </w:p>
    <w:p w:rsidRPr="00030969" w:rsidR="00C57D80" w:rsidP="008B3EBD" w:rsidRDefault="00C57D80" w14:paraId="37E517B1" w14:textId="77777777">
      <w:pPr>
        <w:numPr>
          <w:ilvl w:val="0"/>
          <w:numId w:val="4"/>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Star schema modeling with surrogate keys and normalized dimension tables ensures scalability and consistency.</w:t>
      </w:r>
    </w:p>
    <w:p w:rsidRPr="00030969" w:rsidR="00C57D80" w:rsidP="008B3EBD" w:rsidRDefault="00C57D80" w14:paraId="6ACABF8F" w14:textId="77777777">
      <w:pPr>
        <w:numPr>
          <w:ilvl w:val="0"/>
          <w:numId w:val="4"/>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Geographic granularity includes major Canadian provinces and postal regions.</w:t>
      </w:r>
    </w:p>
    <w:p w:rsidRPr="00030969" w:rsidR="00C57D80" w:rsidP="00E11D09" w:rsidRDefault="00C57D80" w14:paraId="78DB1975" w14:textId="1C8A9613">
      <w:pPr>
        <w:numPr>
          <w:ilvl w:val="0"/>
          <w:numId w:val="4"/>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No real-time APIs were implemented—focus remained on modeling, simulation, and executive-level dashboarding.</w:t>
      </w:r>
    </w:p>
    <w:p w:rsidRPr="00030969" w:rsidR="00C57D80" w:rsidP="00BA6B91" w:rsidRDefault="00C57D80" w14:paraId="2CFD7F9F" w14:textId="73D867A7">
      <w:pPr>
        <w:pStyle w:val="Heading3"/>
        <w:jc w:val="center"/>
        <w:rPr>
          <w:rFonts w:ascii="Arial" w:hAnsi="Arial" w:cs="Arial"/>
          <w:sz w:val="24"/>
          <w:szCs w:val="24"/>
          <w:lang w:val="en-US"/>
        </w:rPr>
      </w:pPr>
      <w:r w:rsidRPr="00030969">
        <w:rPr>
          <w:rFonts w:ascii="Arial" w:hAnsi="Arial" w:cs="Arial"/>
          <w:sz w:val="24"/>
          <w:szCs w:val="24"/>
          <w:lang w:val="en-US"/>
        </w:rPr>
        <w:t>Business Domain Analyses</w:t>
      </w:r>
    </w:p>
    <w:p w:rsidRPr="001221DF" w:rsidR="001221DF" w:rsidP="001221DF" w:rsidRDefault="001221DF" w14:paraId="3DFC683F" w14:textId="77777777">
      <w:pPr>
        <w:spacing w:before="100" w:beforeAutospacing="1" w:after="100" w:afterAutospacing="1"/>
        <w:outlineLvl w:val="2"/>
        <w:rPr>
          <w:rFonts w:ascii="Arial" w:hAnsi="Arial" w:cs="Arial"/>
          <w:b/>
          <w:bCs/>
          <w14:ligatures w14:val="none"/>
        </w:rPr>
      </w:pPr>
      <w:r w:rsidRPr="001221DF">
        <w:rPr>
          <w:rFonts w:ascii="Arial" w:hAnsi="Arial" w:cs="Arial"/>
          <w:b/>
          <w:bCs/>
          <w14:ligatures w14:val="none"/>
        </w:rPr>
        <w:t>Sales &amp; Revenue Optimization</w:t>
      </w:r>
    </w:p>
    <w:p w:rsidRPr="001221DF" w:rsidR="001221DF" w:rsidP="001221DF" w:rsidRDefault="001221DF" w14:paraId="17381414" w14:textId="77777777">
      <w:pPr>
        <w:spacing w:before="100" w:beforeAutospacing="1" w:after="100" w:afterAutospacing="1"/>
        <w:rPr>
          <w:rFonts w:ascii="Arial" w:hAnsi="Arial" w:cs="Arial"/>
          <w14:ligatures w14:val="none"/>
        </w:rPr>
      </w:pPr>
      <w:r w:rsidRPr="001221DF">
        <w:rPr>
          <w:rFonts w:ascii="Arial" w:hAnsi="Arial" w:cs="Arial"/>
          <w14:ligatures w14:val="none"/>
        </w:rPr>
        <w:t xml:space="preserve">Our Power BI dashboard provided a comprehensive view of sales performance across product categories, store locations, and time periods. Between 2022 and 2024, Walmart generated a total revenue of </w:t>
      </w:r>
      <w:r w:rsidRPr="001221DF">
        <w:rPr>
          <w:rFonts w:ascii="Arial" w:hAnsi="Arial" w:cs="Arial"/>
          <w:b/>
          <w:bCs/>
          <w14:ligatures w14:val="none"/>
        </w:rPr>
        <w:t>$48.99 million</w:t>
      </w:r>
      <w:r w:rsidRPr="001221DF">
        <w:rPr>
          <w:rFonts w:ascii="Arial" w:hAnsi="Arial" w:cs="Arial"/>
          <w14:ligatures w14:val="none"/>
        </w:rPr>
        <w:t xml:space="preserve">, with an average revenue of </w:t>
      </w:r>
      <w:r w:rsidRPr="001221DF">
        <w:rPr>
          <w:rFonts w:ascii="Arial" w:hAnsi="Arial" w:cs="Arial"/>
          <w:b/>
          <w:bCs/>
          <w14:ligatures w14:val="none"/>
        </w:rPr>
        <w:t>$1.96 million per store</w:t>
      </w:r>
      <w:r w:rsidRPr="001221DF">
        <w:rPr>
          <w:rFonts w:ascii="Arial" w:hAnsi="Arial" w:cs="Arial"/>
          <w14:ligatures w14:val="none"/>
        </w:rPr>
        <w:t xml:space="preserve">. Seasonal trends revealed that </w:t>
      </w:r>
      <w:r w:rsidRPr="001221DF">
        <w:rPr>
          <w:rFonts w:ascii="Arial" w:hAnsi="Arial" w:cs="Arial"/>
          <w:b/>
          <w:bCs/>
          <w14:ligatures w14:val="none"/>
        </w:rPr>
        <w:t>Q2 and Q3</w:t>
      </w:r>
      <w:r w:rsidRPr="001221DF">
        <w:rPr>
          <w:rFonts w:ascii="Arial" w:hAnsi="Arial" w:cs="Arial"/>
          <w14:ligatures w14:val="none"/>
        </w:rPr>
        <w:t xml:space="preserve">, particularly </w:t>
      </w:r>
      <w:r w:rsidRPr="001221DF">
        <w:rPr>
          <w:rFonts w:ascii="Arial" w:hAnsi="Arial" w:cs="Arial"/>
          <w:b/>
          <w:bCs/>
          <w14:ligatures w14:val="none"/>
        </w:rPr>
        <w:t>May through August</w:t>
      </w:r>
      <w:r w:rsidRPr="001221DF">
        <w:rPr>
          <w:rFonts w:ascii="Arial" w:hAnsi="Arial" w:cs="Arial"/>
          <w14:ligatures w14:val="none"/>
        </w:rPr>
        <w:t xml:space="preserve">, yielded the highest revenue. The most profitable product categories were </w:t>
      </w:r>
      <w:r w:rsidRPr="001221DF">
        <w:rPr>
          <w:rFonts w:ascii="Arial" w:hAnsi="Arial" w:cs="Arial"/>
          <w:b/>
          <w:bCs/>
          <w14:ligatures w14:val="none"/>
        </w:rPr>
        <w:t>Home Goods</w:t>
      </w:r>
      <w:r w:rsidRPr="001221DF">
        <w:rPr>
          <w:rFonts w:ascii="Arial" w:hAnsi="Arial" w:cs="Arial"/>
          <w14:ligatures w14:val="none"/>
        </w:rPr>
        <w:t xml:space="preserve">, followed by </w:t>
      </w:r>
      <w:r w:rsidRPr="001221DF">
        <w:rPr>
          <w:rFonts w:ascii="Arial" w:hAnsi="Arial" w:cs="Arial"/>
          <w:b/>
          <w:bCs/>
          <w14:ligatures w14:val="none"/>
        </w:rPr>
        <w:t>Apparel</w:t>
      </w:r>
      <w:r w:rsidRPr="001221DF">
        <w:rPr>
          <w:rFonts w:ascii="Arial" w:hAnsi="Arial" w:cs="Arial"/>
          <w14:ligatures w14:val="none"/>
        </w:rPr>
        <w:t xml:space="preserve"> and </w:t>
      </w:r>
      <w:r w:rsidRPr="001221DF">
        <w:rPr>
          <w:rFonts w:ascii="Arial" w:hAnsi="Arial" w:cs="Arial"/>
          <w:b/>
          <w:bCs/>
          <w14:ligatures w14:val="none"/>
        </w:rPr>
        <w:t>Grocery</w:t>
      </w:r>
      <w:r w:rsidRPr="001221DF">
        <w:rPr>
          <w:rFonts w:ascii="Arial" w:hAnsi="Arial" w:cs="Arial"/>
          <w14:ligatures w14:val="none"/>
        </w:rPr>
        <w:t xml:space="preserve">. Among all stores, </w:t>
      </w:r>
      <w:r w:rsidRPr="001221DF">
        <w:rPr>
          <w:rFonts w:ascii="Arial" w:hAnsi="Arial" w:cs="Arial"/>
          <w:b/>
          <w:bCs/>
          <w14:ligatures w14:val="none"/>
        </w:rPr>
        <w:t>Walmart Laval #1</w:t>
      </w:r>
      <w:r w:rsidRPr="001221DF">
        <w:rPr>
          <w:rFonts w:ascii="Arial" w:hAnsi="Arial" w:cs="Arial"/>
          <w14:ligatures w14:val="none"/>
        </w:rPr>
        <w:t xml:space="preserve"> and </w:t>
      </w:r>
      <w:r w:rsidRPr="001221DF">
        <w:rPr>
          <w:rFonts w:ascii="Arial" w:hAnsi="Arial" w:cs="Arial"/>
          <w:b/>
          <w:bCs/>
          <w14:ligatures w14:val="none"/>
        </w:rPr>
        <w:t>Walmart London #14</w:t>
      </w:r>
      <w:r w:rsidRPr="001221DF">
        <w:rPr>
          <w:rFonts w:ascii="Arial" w:hAnsi="Arial" w:cs="Arial"/>
          <w14:ligatures w14:val="none"/>
        </w:rPr>
        <w:t xml:space="preserve"> emerged as top performers.</w:t>
      </w:r>
    </w:p>
    <w:p w:rsidRPr="00030969" w:rsidR="001221DF" w:rsidP="001221DF" w:rsidRDefault="001221DF" w14:paraId="4C1886CA" w14:textId="77777777">
      <w:pPr>
        <w:spacing w:before="100" w:beforeAutospacing="1" w:after="100" w:afterAutospacing="1"/>
        <w:rPr>
          <w:rFonts w:ascii="Arial" w:hAnsi="Arial" w:cs="Arial"/>
          <w14:ligatures w14:val="none"/>
        </w:rPr>
      </w:pPr>
      <w:r w:rsidRPr="001221DF">
        <w:rPr>
          <w:rFonts w:ascii="Arial" w:hAnsi="Arial" w:cs="Arial"/>
          <w14:ligatures w14:val="none"/>
        </w:rPr>
        <w:t xml:space="preserve">To build on these insights, we recommend promoting high-margin products through bundled offerings and expanding seasonal campaigns that align with Q2 and Q3 sales peaks. Additionally, underperforming stores should be </w:t>
      </w:r>
      <w:proofErr w:type="spellStart"/>
      <w:r w:rsidRPr="001221DF">
        <w:rPr>
          <w:rFonts w:ascii="Arial" w:hAnsi="Arial" w:cs="Arial"/>
          <w14:ligatures w14:val="none"/>
        </w:rPr>
        <w:t>modeled</w:t>
      </w:r>
      <w:proofErr w:type="spellEnd"/>
      <w:r w:rsidRPr="001221DF">
        <w:rPr>
          <w:rFonts w:ascii="Arial" w:hAnsi="Arial" w:cs="Arial"/>
          <w14:ligatures w14:val="none"/>
        </w:rPr>
        <w:t xml:space="preserve"> after the top-performing ones by adopting their training approaches and pricing strategies.</w:t>
      </w:r>
    </w:p>
    <w:p w:rsidRPr="001221DF" w:rsidR="001221DF" w:rsidP="001221DF" w:rsidRDefault="001221DF" w14:paraId="7B928CE1" w14:textId="25050188">
      <w:pPr>
        <w:spacing w:before="100" w:beforeAutospacing="1" w:after="100" w:afterAutospacing="1"/>
        <w:rPr>
          <w:rFonts w:ascii="Arial" w:hAnsi="Arial" w:cs="Arial"/>
          <w14:ligatures w14:val="none"/>
        </w:rPr>
      </w:pPr>
      <w:r w:rsidRPr="001221DF">
        <w:rPr>
          <w:rFonts w:ascii="Arial" w:hAnsi="Arial" w:cs="Arial"/>
          <w:b/>
          <w:bCs/>
          <w14:ligatures w14:val="none"/>
        </w:rPr>
        <w:t>Inventory Management</w:t>
      </w:r>
    </w:p>
    <w:p w:rsidRPr="001221DF" w:rsidR="001221DF" w:rsidP="001221DF" w:rsidRDefault="001221DF" w14:paraId="40339331" w14:textId="77777777">
      <w:pPr>
        <w:spacing w:before="100" w:beforeAutospacing="1" w:after="100" w:afterAutospacing="1"/>
        <w:rPr>
          <w:rFonts w:ascii="Arial" w:hAnsi="Arial" w:cs="Arial"/>
          <w14:ligatures w14:val="none"/>
        </w:rPr>
      </w:pPr>
      <w:r w:rsidRPr="001221DF">
        <w:rPr>
          <w:rFonts w:ascii="Arial" w:hAnsi="Arial" w:cs="Arial"/>
          <w14:ligatures w14:val="none"/>
        </w:rPr>
        <w:lastRenderedPageBreak/>
        <w:t xml:space="preserve">The inventory dashboard tracked warehouse activity across four provinces, capturing key transaction types including purchases, returns, and adjustments. </w:t>
      </w:r>
      <w:r w:rsidRPr="001221DF">
        <w:rPr>
          <w:rFonts w:ascii="Arial" w:hAnsi="Arial" w:cs="Arial"/>
          <w:b/>
          <w:bCs/>
          <w14:ligatures w14:val="none"/>
        </w:rPr>
        <w:t>Overall warehouse utilization stood at 67.16%</w:t>
      </w:r>
      <w:r w:rsidRPr="001221DF">
        <w:rPr>
          <w:rFonts w:ascii="Arial" w:hAnsi="Arial" w:cs="Arial"/>
          <w14:ligatures w14:val="none"/>
        </w:rPr>
        <w:t xml:space="preserve">, with a notable underutilization warning in </w:t>
      </w:r>
      <w:r w:rsidRPr="001221DF">
        <w:rPr>
          <w:rFonts w:ascii="Arial" w:hAnsi="Arial" w:cs="Arial"/>
          <w:b/>
          <w:bCs/>
          <w14:ligatures w14:val="none"/>
        </w:rPr>
        <w:t>Alberta</w:t>
      </w:r>
      <w:r w:rsidRPr="001221DF">
        <w:rPr>
          <w:rFonts w:ascii="Arial" w:hAnsi="Arial" w:cs="Arial"/>
          <w14:ligatures w14:val="none"/>
        </w:rPr>
        <w:t xml:space="preserve">, which reported fewer than </w:t>
      </w:r>
      <w:r w:rsidRPr="001221DF">
        <w:rPr>
          <w:rFonts w:ascii="Arial" w:hAnsi="Arial" w:cs="Arial"/>
          <w:b/>
          <w:bCs/>
          <w14:ligatures w14:val="none"/>
        </w:rPr>
        <w:t>15% usage</w:t>
      </w:r>
      <w:r w:rsidRPr="001221DF">
        <w:rPr>
          <w:rFonts w:ascii="Arial" w:hAnsi="Arial" w:cs="Arial"/>
          <w14:ligatures w14:val="none"/>
        </w:rPr>
        <w:t xml:space="preserve">—only 600 units stored out of a 4,600-unit capacity. Meanwhile, </w:t>
      </w:r>
      <w:r w:rsidRPr="001221DF">
        <w:rPr>
          <w:rFonts w:ascii="Arial" w:hAnsi="Arial" w:cs="Arial"/>
          <w:b/>
          <w:bCs/>
          <w14:ligatures w14:val="none"/>
        </w:rPr>
        <w:t>Nova Scotia</w:t>
      </w:r>
      <w:r w:rsidRPr="001221DF">
        <w:rPr>
          <w:rFonts w:ascii="Arial" w:hAnsi="Arial" w:cs="Arial"/>
          <w14:ligatures w14:val="none"/>
        </w:rPr>
        <w:t xml:space="preserve"> and </w:t>
      </w:r>
      <w:r w:rsidRPr="001221DF">
        <w:rPr>
          <w:rFonts w:ascii="Arial" w:hAnsi="Arial" w:cs="Arial"/>
          <w:b/>
          <w:bCs/>
          <w14:ligatures w14:val="none"/>
        </w:rPr>
        <w:t>Manitoba</w:t>
      </w:r>
      <w:r w:rsidRPr="001221DF">
        <w:rPr>
          <w:rFonts w:ascii="Arial" w:hAnsi="Arial" w:cs="Arial"/>
          <w14:ligatures w14:val="none"/>
        </w:rPr>
        <w:t xml:space="preserve"> displayed balanced inventory-to-capacity ratios, reflecting efficient operations. Since 2025, purchase volumes have steadily increased, indicating a readiness for growth.</w:t>
      </w:r>
    </w:p>
    <w:p w:rsidRPr="001221DF" w:rsidR="001221DF" w:rsidP="3F9C8124" w:rsidRDefault="001221DF" w14:paraId="15A29798" w14:textId="77777777">
      <w:pPr>
        <w:spacing w:before="100" w:beforeAutospacing="on" w:after="100" w:afterAutospacing="on"/>
        <w:rPr>
          <w:rFonts w:ascii="Arial" w:hAnsi="Arial" w:cs="Arial"/>
          <w14:ligatures w14:val="none"/>
        </w:rPr>
      </w:pPr>
      <w:r w:rsidRPr="001221DF" w:rsidR="001221DF">
        <w:rPr>
          <w:rFonts w:ascii="Arial" w:hAnsi="Arial" w:cs="Arial"/>
          <w14:ligatures w14:val="none"/>
        </w:rPr>
        <w:t xml:space="preserve">Strategically, Alberta’s distribution approach should be reassessed, with potential downsizing or reallocation options considered. </w:t>
      </w:r>
      <w:r w:rsidRPr="001221DF" w:rsidR="001221DF">
        <w:rPr>
          <w:rFonts w:ascii="Arial" w:hAnsi="Arial" w:cs="Arial"/>
          <w14:ligatures w14:val="none"/>
        </w:rPr>
        <w:t>Capacity</w:t>
      </w:r>
      <w:r w:rsidRPr="001221DF" w:rsidR="001221DF">
        <w:rPr>
          <w:rFonts w:ascii="Arial" w:hAnsi="Arial" w:cs="Arial"/>
          <w14:ligatures w14:val="none"/>
        </w:rPr>
        <w:t xml:space="preserve"> should be scaled in high-</w:t>
      </w:r>
      <w:r w:rsidRPr="001221DF" w:rsidR="001221DF">
        <w:rPr>
          <w:rFonts w:ascii="Arial" w:hAnsi="Arial" w:cs="Arial"/>
          <w14:ligatures w14:val="none"/>
        </w:rPr>
        <w:t>fulfillment</w:t>
      </w:r>
      <w:r w:rsidRPr="001221DF" w:rsidR="001221DF">
        <w:rPr>
          <w:rFonts w:ascii="Arial" w:hAnsi="Arial" w:cs="Arial"/>
          <w14:ligatures w14:val="none"/>
        </w:rPr>
        <w:t xml:space="preserve"> provinces like Nova Scotia and Manitoba. Lastly, integrating inventory metrics with sales forecasts will further </w:t>
      </w:r>
      <w:r w:rsidRPr="001221DF" w:rsidR="001221DF">
        <w:rPr>
          <w:rFonts w:ascii="Arial" w:hAnsi="Arial" w:cs="Arial"/>
          <w14:ligatures w14:val="none"/>
        </w:rPr>
        <w:t xml:space="preserve">optimize</w:t>
      </w:r>
      <w:r w:rsidRPr="001221DF" w:rsidR="001221DF">
        <w:rPr>
          <w:rFonts w:ascii="Arial" w:hAnsi="Arial" w:cs="Arial"/>
          <w14:ligatures w14:val="none"/>
        </w:rPr>
        <w:t xml:space="preserve"> procurement and replenishment cycles.</w:t>
      </w:r>
    </w:p>
    <w:p w:rsidR="3F9C8124" w:rsidP="3F9C8124" w:rsidRDefault="3F9C8124" w14:paraId="29C0262D" w14:textId="791BD7A2">
      <w:pPr>
        <w:spacing w:beforeAutospacing="on" w:afterAutospacing="on"/>
        <w:rPr>
          <w:rFonts w:ascii="Arial" w:hAnsi="Arial" w:cs="Arial"/>
        </w:rPr>
      </w:pPr>
    </w:p>
    <w:p w:rsidRPr="00030969" w:rsidR="001221DF" w:rsidP="001221DF" w:rsidRDefault="001221DF" w14:paraId="199E5F10" w14:textId="77777777">
      <w:pPr>
        <w:spacing w:before="100" w:beforeAutospacing="1" w:after="100" w:afterAutospacing="1"/>
        <w:rPr>
          <w:rFonts w:ascii="Arial" w:hAnsi="Arial" w:cs="Arial"/>
          <w14:ligatures w14:val="none"/>
        </w:rPr>
      </w:pPr>
      <w:r w:rsidRPr="00030969">
        <w:rPr>
          <w:rFonts w:ascii="Arial" w:hAnsi="Arial" w:cs="Arial"/>
          <w:b/>
          <w:bCs/>
          <w:lang w:val="en-US"/>
          <w14:ligatures w14:val="none"/>
        </w:rPr>
        <w:t>Real Estate Development</w:t>
      </w:r>
    </w:p>
    <w:p w:rsidRPr="001221DF" w:rsidR="001221DF" w:rsidP="001221DF" w:rsidRDefault="001221DF" w14:paraId="6BB1AF2B" w14:textId="77777777">
      <w:pPr>
        <w:spacing w:before="100" w:beforeAutospacing="1" w:after="100" w:afterAutospacing="1"/>
        <w:rPr>
          <w:rFonts w:ascii="Arial" w:hAnsi="Arial" w:cs="Arial"/>
          <w14:ligatures w14:val="none"/>
        </w:rPr>
      </w:pPr>
      <w:r w:rsidRPr="001221DF">
        <w:rPr>
          <w:rFonts w:ascii="Arial" w:hAnsi="Arial" w:cs="Arial"/>
          <w14:ligatures w14:val="none"/>
        </w:rPr>
        <w:t xml:space="preserve">Used the past three years of sales data and the predicted sales growth rate to identify cities with strong potential for expansion and to determine the target number of new store openings. Each potential supermarket site was evaluated using 13 carefully designed and weighted measures. </w:t>
      </w:r>
      <w:r w:rsidRPr="00030969">
        <w:rPr>
          <w:rFonts w:ascii="Arial" w:hAnsi="Arial" w:cs="Arial"/>
        </w:rPr>
        <w:t xml:space="preserve">These measures were grouped into four categories — </w:t>
      </w:r>
      <w:r w:rsidRPr="00030969">
        <w:rPr>
          <w:rStyle w:val="Strong"/>
          <w:rFonts w:ascii="Arial" w:hAnsi="Arial" w:cs="Arial" w:eastAsiaTheme="majorEastAsia"/>
        </w:rPr>
        <w:t>Commercial Term Score</w:t>
      </w:r>
      <w:r w:rsidRPr="00030969">
        <w:rPr>
          <w:rFonts w:ascii="Arial" w:hAnsi="Arial" w:cs="Arial"/>
        </w:rPr>
        <w:t xml:space="preserve"> (40% weight), </w:t>
      </w:r>
      <w:r w:rsidRPr="00030969">
        <w:rPr>
          <w:rStyle w:val="Strong"/>
          <w:rFonts w:ascii="Arial" w:hAnsi="Arial" w:cs="Arial" w:eastAsiaTheme="majorEastAsia"/>
        </w:rPr>
        <w:t>Property Score</w:t>
      </w:r>
      <w:r w:rsidRPr="00030969">
        <w:rPr>
          <w:rFonts w:ascii="Arial" w:hAnsi="Arial" w:cs="Arial"/>
        </w:rPr>
        <w:t xml:space="preserve"> (10% weight), </w:t>
      </w:r>
      <w:r w:rsidRPr="00030969">
        <w:rPr>
          <w:rStyle w:val="Strong"/>
          <w:rFonts w:ascii="Arial" w:hAnsi="Arial" w:cs="Arial" w:eastAsiaTheme="majorEastAsia"/>
        </w:rPr>
        <w:t>Location Score</w:t>
      </w:r>
      <w:r w:rsidRPr="00030969">
        <w:rPr>
          <w:rFonts w:ascii="Arial" w:hAnsi="Arial" w:cs="Arial"/>
        </w:rPr>
        <w:t xml:space="preserve"> (30% weight), and </w:t>
      </w:r>
      <w:r w:rsidRPr="00030969">
        <w:rPr>
          <w:rStyle w:val="Strong"/>
          <w:rFonts w:ascii="Arial" w:hAnsi="Arial" w:cs="Arial" w:eastAsiaTheme="majorEastAsia"/>
        </w:rPr>
        <w:t>Investment Score</w:t>
      </w:r>
      <w:r w:rsidRPr="00030969">
        <w:rPr>
          <w:rFonts w:ascii="Arial" w:hAnsi="Arial" w:cs="Arial"/>
        </w:rPr>
        <w:t xml:space="preserve"> (20% weight) — and included key factors such as rent, competitor density, and developer reputation. These were used collectively to calculate a total score for each location.</w:t>
      </w:r>
    </w:p>
    <w:p w:rsidRPr="001221DF" w:rsidR="001221DF" w:rsidP="001221DF" w:rsidRDefault="001221DF" w14:paraId="1A99F3F8" w14:textId="77777777">
      <w:pPr>
        <w:spacing w:before="100" w:beforeAutospacing="1" w:after="100" w:afterAutospacing="1"/>
        <w:rPr>
          <w:rFonts w:ascii="Arial" w:hAnsi="Arial" w:cs="Arial"/>
          <w14:ligatures w14:val="none"/>
        </w:rPr>
      </w:pPr>
      <w:r w:rsidRPr="001221DF">
        <w:rPr>
          <w:rFonts w:ascii="Arial" w:hAnsi="Arial" w:cs="Arial"/>
          <w14:ligatures w14:val="none"/>
        </w:rPr>
        <w:t>If a site received a score greater than 80, it was classified as approved. Scores between 70 and 80 were marked as pending, while scores below 70 were considered not recommended. Assumptions were applied across all 13 measures to standardize evaluation. For instance, the Developer Reputation Score, which accounts for 5% of the total weight, was determined based on the rating in the dimension table: if the rating was greater than 4.5, a score of 5 was assigned; if it was between 4 and 4.5, a score of 4 was assigned, and so on.</w:t>
      </w:r>
    </w:p>
    <w:p w:rsidRPr="001221DF" w:rsidR="001221DF" w:rsidP="3F9C8124" w:rsidRDefault="001221DF" w14:paraId="1F312193" w14:textId="77777777">
      <w:pPr>
        <w:spacing w:before="100" w:beforeAutospacing="on" w:after="100" w:afterAutospacing="on"/>
        <w:rPr>
          <w:rFonts w:ascii="Arial" w:hAnsi="Arial" w:cs="Arial"/>
          <w14:ligatures w14:val="none"/>
        </w:rPr>
      </w:pPr>
      <w:r w:rsidRPr="001221DF" w:rsidR="001221DF">
        <w:rPr>
          <w:rFonts w:ascii="Arial" w:hAnsi="Arial" w:cs="Arial"/>
          <w14:ligatures w14:val="none"/>
        </w:rPr>
        <w:t xml:space="preserve">Similarly, for the Early Termination Score under the Commercial Terms category (weighted at 10%), if the termination penalty was less than one month's rent, a score of 10 was given. If it was less than two months' rent, the score was 9, and if it </w:t>
      </w:r>
      <w:r w:rsidRPr="001221DF" w:rsidR="001221DF">
        <w:rPr>
          <w:rFonts w:ascii="Arial" w:hAnsi="Arial" w:cs="Arial"/>
          <w14:ligatures w14:val="none"/>
        </w:rPr>
        <w:t>equaled</w:t>
      </w:r>
      <w:r w:rsidRPr="001221DF" w:rsidR="001221DF">
        <w:rPr>
          <w:rFonts w:ascii="Arial" w:hAnsi="Arial" w:cs="Arial"/>
          <w14:ligatures w14:val="none"/>
        </w:rPr>
        <w:t xml:space="preserve"> three months' rent, a score of 7 was applied.</w:t>
      </w:r>
    </w:p>
    <w:p w:rsidR="3F9C8124" w:rsidP="3F9C8124" w:rsidRDefault="3F9C8124" w14:paraId="795F0987" w14:textId="4A941E8D">
      <w:pPr>
        <w:spacing w:beforeAutospacing="on" w:afterAutospacing="on"/>
        <w:rPr>
          <w:rFonts w:ascii="Arial" w:hAnsi="Arial" w:cs="Arial"/>
        </w:rPr>
      </w:pPr>
    </w:p>
    <w:p w:rsidRPr="001221DF" w:rsidR="001221DF" w:rsidP="001221DF" w:rsidRDefault="001221DF" w14:paraId="3AE1CBE2" w14:textId="77777777">
      <w:pPr>
        <w:spacing w:before="100" w:beforeAutospacing="1" w:after="100" w:afterAutospacing="1"/>
        <w:outlineLvl w:val="2"/>
        <w:rPr>
          <w:rFonts w:ascii="Arial" w:hAnsi="Arial" w:cs="Arial"/>
          <w:b/>
          <w:bCs/>
          <w14:ligatures w14:val="none"/>
        </w:rPr>
      </w:pPr>
      <w:r w:rsidRPr="001221DF">
        <w:rPr>
          <w:rFonts w:ascii="Arial" w:hAnsi="Arial" w:cs="Arial"/>
          <w:b/>
          <w:bCs/>
          <w14:ligatures w14:val="none"/>
        </w:rPr>
        <w:t>eCommerce Trends</w:t>
      </w:r>
    </w:p>
    <w:p w:rsidRPr="001221DF" w:rsidR="001221DF" w:rsidP="001221DF" w:rsidRDefault="001221DF" w14:paraId="035781E2" w14:textId="77777777">
      <w:pPr>
        <w:spacing w:before="100" w:beforeAutospacing="1" w:after="100" w:afterAutospacing="1"/>
        <w:rPr>
          <w:rFonts w:ascii="Arial" w:hAnsi="Arial" w:cs="Arial"/>
          <w14:ligatures w14:val="none"/>
        </w:rPr>
      </w:pPr>
      <w:r w:rsidRPr="001221DF">
        <w:rPr>
          <w:rFonts w:ascii="Arial" w:hAnsi="Arial" w:cs="Arial"/>
          <w14:ligatures w14:val="none"/>
        </w:rPr>
        <w:t xml:space="preserve">This section focused on digital sales performance, payment preferences, discount sensitivity, and regional adoption of digital channels. Total eCommerce sales reached </w:t>
      </w:r>
      <w:r w:rsidRPr="001221DF">
        <w:rPr>
          <w:rFonts w:ascii="Arial" w:hAnsi="Arial" w:cs="Arial"/>
          <w:b/>
          <w:bCs/>
          <w14:ligatures w14:val="none"/>
        </w:rPr>
        <w:t>256,300 transactions</w:t>
      </w:r>
      <w:r w:rsidRPr="001221DF">
        <w:rPr>
          <w:rFonts w:ascii="Arial" w:hAnsi="Arial" w:cs="Arial"/>
          <w14:ligatures w14:val="none"/>
        </w:rPr>
        <w:t xml:space="preserve">, with the top-performing product categories being </w:t>
      </w:r>
      <w:r w:rsidRPr="001221DF">
        <w:rPr>
          <w:rFonts w:ascii="Arial" w:hAnsi="Arial" w:cs="Arial"/>
          <w:b/>
          <w:bCs/>
          <w14:ligatures w14:val="none"/>
        </w:rPr>
        <w:t>Grocery</w:t>
      </w:r>
      <w:r w:rsidRPr="001221DF">
        <w:rPr>
          <w:rFonts w:ascii="Arial" w:hAnsi="Arial" w:cs="Arial"/>
          <w14:ligatures w14:val="none"/>
        </w:rPr>
        <w:t xml:space="preserve">, </w:t>
      </w:r>
      <w:r w:rsidRPr="001221DF">
        <w:rPr>
          <w:rFonts w:ascii="Arial" w:hAnsi="Arial" w:cs="Arial"/>
          <w:b/>
          <w:bCs/>
          <w14:ligatures w14:val="none"/>
        </w:rPr>
        <w:t>Home Goods</w:t>
      </w:r>
      <w:r w:rsidRPr="001221DF">
        <w:rPr>
          <w:rFonts w:ascii="Arial" w:hAnsi="Arial" w:cs="Arial"/>
          <w14:ligatures w14:val="none"/>
        </w:rPr>
        <w:t xml:space="preserve">, and </w:t>
      </w:r>
      <w:r w:rsidRPr="001221DF">
        <w:rPr>
          <w:rFonts w:ascii="Arial" w:hAnsi="Arial" w:cs="Arial"/>
          <w:b/>
          <w:bCs/>
          <w14:ligatures w14:val="none"/>
        </w:rPr>
        <w:t>Apparel</w:t>
      </w:r>
      <w:r w:rsidRPr="001221DF">
        <w:rPr>
          <w:rFonts w:ascii="Arial" w:hAnsi="Arial" w:cs="Arial"/>
          <w14:ligatures w14:val="none"/>
        </w:rPr>
        <w:t xml:space="preserve">. Among these, </w:t>
      </w:r>
      <w:r w:rsidRPr="001221DF">
        <w:rPr>
          <w:rFonts w:ascii="Arial" w:hAnsi="Arial" w:cs="Arial"/>
          <w:b/>
          <w:bCs/>
          <w14:ligatures w14:val="none"/>
        </w:rPr>
        <w:t>Home Goods</w:t>
      </w:r>
      <w:r w:rsidRPr="001221DF">
        <w:rPr>
          <w:rFonts w:ascii="Arial" w:hAnsi="Arial" w:cs="Arial"/>
          <w14:ligatures w14:val="none"/>
        </w:rPr>
        <w:t xml:space="preserve"> showed the greatest responsiveness to discounting strategies.</w:t>
      </w:r>
    </w:p>
    <w:p w:rsidRPr="001221DF" w:rsidR="001221DF" w:rsidP="001221DF" w:rsidRDefault="001221DF" w14:paraId="4F1E7A57" w14:textId="77777777">
      <w:pPr>
        <w:spacing w:before="100" w:beforeAutospacing="1" w:after="100" w:afterAutospacing="1"/>
        <w:rPr>
          <w:rFonts w:ascii="Arial" w:hAnsi="Arial" w:cs="Arial"/>
          <w14:ligatures w14:val="none"/>
        </w:rPr>
      </w:pPr>
      <w:r w:rsidRPr="001221DF">
        <w:rPr>
          <w:rFonts w:ascii="Arial" w:hAnsi="Arial" w:cs="Arial"/>
          <w14:ligatures w14:val="none"/>
        </w:rPr>
        <w:lastRenderedPageBreak/>
        <w:t xml:space="preserve">The highest-performing digital sales locations included </w:t>
      </w:r>
      <w:r w:rsidRPr="001221DF">
        <w:rPr>
          <w:rFonts w:ascii="Arial" w:hAnsi="Arial" w:cs="Arial"/>
          <w:b/>
          <w:bCs/>
          <w14:ligatures w14:val="none"/>
        </w:rPr>
        <w:t>Ottawa Store #12</w:t>
      </w:r>
      <w:r w:rsidRPr="001221DF">
        <w:rPr>
          <w:rFonts w:ascii="Arial" w:hAnsi="Arial" w:cs="Arial"/>
          <w14:ligatures w14:val="none"/>
        </w:rPr>
        <w:t xml:space="preserve">, </w:t>
      </w:r>
      <w:r w:rsidRPr="001221DF">
        <w:rPr>
          <w:rFonts w:ascii="Arial" w:hAnsi="Arial" w:cs="Arial"/>
          <w:b/>
          <w:bCs/>
          <w14:ligatures w14:val="none"/>
        </w:rPr>
        <w:t>Vancouver Store #17</w:t>
      </w:r>
      <w:r w:rsidRPr="001221DF">
        <w:rPr>
          <w:rFonts w:ascii="Arial" w:hAnsi="Arial" w:cs="Arial"/>
          <w14:ligatures w14:val="none"/>
        </w:rPr>
        <w:t xml:space="preserve">, and </w:t>
      </w:r>
      <w:r w:rsidRPr="001221DF">
        <w:rPr>
          <w:rFonts w:ascii="Arial" w:hAnsi="Arial" w:cs="Arial"/>
          <w:b/>
          <w:bCs/>
          <w14:ligatures w14:val="none"/>
        </w:rPr>
        <w:t>Toronto Store #14</w:t>
      </w:r>
      <w:r w:rsidRPr="001221DF">
        <w:rPr>
          <w:rFonts w:ascii="Arial" w:hAnsi="Arial" w:cs="Arial"/>
          <w14:ligatures w14:val="none"/>
        </w:rPr>
        <w:t xml:space="preserve">. In terms of payment </w:t>
      </w:r>
      <w:proofErr w:type="spellStart"/>
      <w:r w:rsidRPr="001221DF">
        <w:rPr>
          <w:rFonts w:ascii="Arial" w:hAnsi="Arial" w:cs="Arial"/>
          <w14:ligatures w14:val="none"/>
        </w:rPr>
        <w:t>behavior</w:t>
      </w:r>
      <w:proofErr w:type="spellEnd"/>
      <w:r w:rsidRPr="001221DF">
        <w:rPr>
          <w:rFonts w:ascii="Arial" w:hAnsi="Arial" w:cs="Arial"/>
          <w14:ligatures w14:val="none"/>
        </w:rPr>
        <w:t xml:space="preserve">, </w:t>
      </w:r>
      <w:r w:rsidRPr="001221DF">
        <w:rPr>
          <w:rFonts w:ascii="Arial" w:hAnsi="Arial" w:cs="Arial"/>
          <w:b/>
          <w:bCs/>
          <w14:ligatures w14:val="none"/>
        </w:rPr>
        <w:t>credit cards</w:t>
      </w:r>
      <w:r w:rsidRPr="001221DF">
        <w:rPr>
          <w:rFonts w:ascii="Arial" w:hAnsi="Arial" w:cs="Arial"/>
          <w14:ligatures w14:val="none"/>
        </w:rPr>
        <w:t xml:space="preserve"> accounted for </w:t>
      </w:r>
      <w:r w:rsidRPr="001221DF">
        <w:rPr>
          <w:rFonts w:ascii="Arial" w:hAnsi="Arial" w:cs="Arial"/>
          <w:b/>
          <w:bCs/>
          <w14:ligatures w14:val="none"/>
        </w:rPr>
        <w:t>28.5%</w:t>
      </w:r>
      <w:r w:rsidRPr="001221DF">
        <w:rPr>
          <w:rFonts w:ascii="Arial" w:hAnsi="Arial" w:cs="Arial"/>
          <w14:ligatures w14:val="none"/>
        </w:rPr>
        <w:t xml:space="preserve"> of transactions, followed by </w:t>
      </w:r>
      <w:r w:rsidRPr="001221DF">
        <w:rPr>
          <w:rFonts w:ascii="Arial" w:hAnsi="Arial" w:cs="Arial"/>
          <w:b/>
          <w:bCs/>
          <w14:ligatures w14:val="none"/>
        </w:rPr>
        <w:t>debit cards (25%)</w:t>
      </w:r>
      <w:r w:rsidRPr="001221DF">
        <w:rPr>
          <w:rFonts w:ascii="Arial" w:hAnsi="Arial" w:cs="Arial"/>
          <w14:ligatures w14:val="none"/>
        </w:rPr>
        <w:t xml:space="preserve">, </w:t>
      </w:r>
      <w:r w:rsidRPr="001221DF">
        <w:rPr>
          <w:rFonts w:ascii="Arial" w:hAnsi="Arial" w:cs="Arial"/>
          <w:b/>
          <w:bCs/>
          <w14:ligatures w14:val="none"/>
        </w:rPr>
        <w:t>cash (24.5%)</w:t>
      </w:r>
      <w:r w:rsidRPr="001221DF">
        <w:rPr>
          <w:rFonts w:ascii="Arial" w:hAnsi="Arial" w:cs="Arial"/>
          <w14:ligatures w14:val="none"/>
        </w:rPr>
        <w:t xml:space="preserve">, and </w:t>
      </w:r>
      <w:r w:rsidRPr="001221DF">
        <w:rPr>
          <w:rFonts w:ascii="Arial" w:hAnsi="Arial" w:cs="Arial"/>
          <w:b/>
          <w:bCs/>
          <w14:ligatures w14:val="none"/>
        </w:rPr>
        <w:t>digital wallets (22%)</w:t>
      </w:r>
      <w:r w:rsidRPr="001221DF">
        <w:rPr>
          <w:rFonts w:ascii="Arial" w:hAnsi="Arial" w:cs="Arial"/>
          <w14:ligatures w14:val="none"/>
        </w:rPr>
        <w:t>, the latter showing rapid growth in adoption.</w:t>
      </w:r>
    </w:p>
    <w:p w:rsidRPr="001221DF" w:rsidR="001221DF" w:rsidP="3F9C8124" w:rsidRDefault="001221DF" w14:paraId="71F793E9" w14:textId="5A3CE7CA">
      <w:pPr>
        <w:spacing w:before="100" w:beforeAutospacing="on" w:after="100" w:afterAutospacing="on"/>
        <w:rPr>
          <w:rFonts w:ascii="Arial" w:hAnsi="Arial" w:cs="Arial"/>
          <w14:ligatures w14:val="none"/>
        </w:rPr>
      </w:pPr>
      <w:r w:rsidRPr="001221DF" w:rsidR="001221DF">
        <w:rPr>
          <w:rFonts w:ascii="Arial" w:hAnsi="Arial" w:cs="Arial"/>
          <w14:ligatures w14:val="none"/>
        </w:rPr>
        <w:t xml:space="preserve">Strategically, expanding discount strategies in Home Goods could drive volume uplift. We also recommend supporting digital wallet promotional campaigns to accelerate modern checkout usage. Finally, enhancing warehouse </w:t>
      </w:r>
      <w:r w:rsidRPr="001221DF" w:rsidR="001221DF">
        <w:rPr>
          <w:rFonts w:ascii="Arial" w:hAnsi="Arial" w:cs="Arial"/>
          <w14:ligatures w14:val="none"/>
        </w:rPr>
        <w:t>fulfillment</w:t>
      </w:r>
      <w:r w:rsidRPr="001221DF" w:rsidR="001221DF">
        <w:rPr>
          <w:rFonts w:ascii="Arial" w:hAnsi="Arial" w:cs="Arial"/>
          <w14:ligatures w14:val="none"/>
        </w:rPr>
        <w:t xml:space="preserve"> </w:t>
      </w:r>
      <w:r w:rsidRPr="001221DF" w:rsidR="001221DF">
        <w:rPr>
          <w:rFonts w:ascii="Arial" w:hAnsi="Arial" w:cs="Arial"/>
          <w14:ligatures w14:val="none"/>
        </w:rPr>
        <w:t xml:space="preserve">capacity</w:t>
      </w:r>
      <w:r w:rsidRPr="001221DF" w:rsidR="001221DF">
        <w:rPr>
          <w:rFonts w:ascii="Arial" w:hAnsi="Arial" w:cs="Arial"/>
          <w14:ligatures w14:val="none"/>
        </w:rPr>
        <w:t xml:space="preserve"> near top-performing eCommerce locations will help shorten delivery times and improve customer experience.</w:t>
      </w:r>
    </w:p>
    <w:p w:rsidR="3F9C8124" w:rsidP="3F9C8124" w:rsidRDefault="3F9C8124" w14:paraId="12233234" w14:textId="679A0889">
      <w:pPr>
        <w:spacing w:beforeAutospacing="on" w:afterAutospacing="on"/>
        <w:rPr>
          <w:rFonts w:ascii="Arial" w:hAnsi="Arial" w:cs="Arial"/>
        </w:rPr>
      </w:pPr>
    </w:p>
    <w:p w:rsidRPr="001221DF" w:rsidR="001221DF" w:rsidP="001221DF" w:rsidRDefault="001221DF" w14:paraId="41F23453" w14:textId="77777777">
      <w:pPr>
        <w:spacing w:before="100" w:beforeAutospacing="1" w:after="100" w:afterAutospacing="1"/>
        <w:outlineLvl w:val="2"/>
        <w:rPr>
          <w:rFonts w:ascii="Arial" w:hAnsi="Arial" w:cs="Arial"/>
          <w:b/>
          <w:bCs/>
          <w14:ligatures w14:val="none"/>
        </w:rPr>
      </w:pPr>
      <w:r w:rsidRPr="001221DF">
        <w:rPr>
          <w:rFonts w:ascii="Arial" w:hAnsi="Arial" w:cs="Arial"/>
          <w:b/>
          <w:bCs/>
          <w14:ligatures w14:val="none"/>
        </w:rPr>
        <w:t>Employee Benefits &amp; Productivity</w:t>
      </w:r>
    </w:p>
    <w:p w:rsidRPr="001221DF" w:rsidR="001221DF" w:rsidP="001221DF" w:rsidRDefault="001221DF" w14:paraId="03CE368A" w14:textId="77777777">
      <w:pPr>
        <w:spacing w:before="100" w:beforeAutospacing="1" w:after="100" w:afterAutospacing="1"/>
        <w:rPr>
          <w:rFonts w:ascii="Arial" w:hAnsi="Arial" w:cs="Arial"/>
          <w14:ligatures w14:val="none"/>
        </w:rPr>
      </w:pPr>
      <w:r w:rsidRPr="001221DF">
        <w:rPr>
          <w:rFonts w:ascii="Arial" w:hAnsi="Arial" w:cs="Arial"/>
          <w14:ligatures w14:val="none"/>
        </w:rPr>
        <w:t xml:space="preserve">To improve workforce insights, an </w:t>
      </w:r>
      <w:r w:rsidRPr="001221DF">
        <w:rPr>
          <w:rFonts w:ascii="Arial" w:hAnsi="Arial" w:cs="Arial"/>
          <w:b/>
          <w:bCs/>
          <w14:ligatures w14:val="none"/>
        </w:rPr>
        <w:t>Employee Benefits Management System</w:t>
      </w:r>
      <w:r w:rsidRPr="001221DF">
        <w:rPr>
          <w:rFonts w:ascii="Arial" w:hAnsi="Arial" w:cs="Arial"/>
          <w14:ligatures w14:val="none"/>
        </w:rPr>
        <w:t xml:space="preserve"> was developed to monitor claim activity, premium deductions, and </w:t>
      </w:r>
      <w:proofErr w:type="spellStart"/>
      <w:r w:rsidRPr="001221DF">
        <w:rPr>
          <w:rFonts w:ascii="Arial" w:hAnsi="Arial" w:cs="Arial"/>
          <w14:ligatures w14:val="none"/>
        </w:rPr>
        <w:t>enrollment</w:t>
      </w:r>
      <w:proofErr w:type="spellEnd"/>
      <w:r w:rsidRPr="001221DF">
        <w:rPr>
          <w:rFonts w:ascii="Arial" w:hAnsi="Arial" w:cs="Arial"/>
          <w14:ligatures w14:val="none"/>
        </w:rPr>
        <w:t xml:space="preserve"> trends across various benefit types. As of the latest reporting period, the system captured </w:t>
      </w:r>
      <w:r w:rsidRPr="001221DF">
        <w:rPr>
          <w:rFonts w:ascii="Arial" w:hAnsi="Arial" w:cs="Arial"/>
          <w:b/>
          <w:bCs/>
          <w14:ligatures w14:val="none"/>
        </w:rPr>
        <w:t>12,060 total deductions</w:t>
      </w:r>
      <w:r w:rsidRPr="001221DF">
        <w:rPr>
          <w:rFonts w:ascii="Arial" w:hAnsi="Arial" w:cs="Arial"/>
          <w14:ligatures w14:val="none"/>
        </w:rPr>
        <w:t xml:space="preserve">, </w:t>
      </w:r>
      <w:r w:rsidRPr="001221DF">
        <w:rPr>
          <w:rFonts w:ascii="Arial" w:hAnsi="Arial" w:cs="Arial"/>
          <w:b/>
          <w:bCs/>
          <w14:ligatures w14:val="none"/>
        </w:rPr>
        <w:t>56,740 in premiums</w:t>
      </w:r>
      <w:r w:rsidRPr="001221DF">
        <w:rPr>
          <w:rFonts w:ascii="Arial" w:hAnsi="Arial" w:cs="Arial"/>
          <w14:ligatures w14:val="none"/>
        </w:rPr>
        <w:t xml:space="preserve">, and </w:t>
      </w:r>
      <w:r w:rsidRPr="001221DF">
        <w:rPr>
          <w:rFonts w:ascii="Arial" w:hAnsi="Arial" w:cs="Arial"/>
          <w:b/>
          <w:bCs/>
          <w14:ligatures w14:val="none"/>
        </w:rPr>
        <w:t>200 claims processed</w:t>
      </w:r>
      <w:r w:rsidRPr="001221DF">
        <w:rPr>
          <w:rFonts w:ascii="Arial" w:hAnsi="Arial" w:cs="Arial"/>
          <w14:ligatures w14:val="none"/>
        </w:rPr>
        <w:t>.</w:t>
      </w:r>
    </w:p>
    <w:p w:rsidRPr="001221DF" w:rsidR="001221DF" w:rsidP="001221DF" w:rsidRDefault="001221DF" w14:paraId="190EEC34" w14:textId="77777777">
      <w:pPr>
        <w:spacing w:before="100" w:beforeAutospacing="1" w:after="100" w:afterAutospacing="1"/>
        <w:rPr>
          <w:rFonts w:ascii="Arial" w:hAnsi="Arial" w:cs="Arial"/>
          <w14:ligatures w14:val="none"/>
        </w:rPr>
      </w:pPr>
      <w:r w:rsidRPr="001221DF">
        <w:rPr>
          <w:rFonts w:ascii="Arial" w:hAnsi="Arial" w:cs="Arial"/>
          <w14:ligatures w14:val="none"/>
        </w:rPr>
        <w:t xml:space="preserve">The most utilized benefits included </w:t>
      </w:r>
      <w:r w:rsidRPr="001221DF">
        <w:rPr>
          <w:rFonts w:ascii="Arial" w:hAnsi="Arial" w:cs="Arial"/>
          <w:b/>
          <w:bCs/>
          <w14:ligatures w14:val="none"/>
        </w:rPr>
        <w:t>Dental (25%)</w:t>
      </w:r>
      <w:r w:rsidRPr="001221DF">
        <w:rPr>
          <w:rFonts w:ascii="Arial" w:hAnsi="Arial" w:cs="Arial"/>
          <w14:ligatures w14:val="none"/>
        </w:rPr>
        <w:t xml:space="preserve">, </w:t>
      </w:r>
      <w:r w:rsidRPr="001221DF">
        <w:rPr>
          <w:rFonts w:ascii="Arial" w:hAnsi="Arial" w:cs="Arial"/>
          <w:b/>
          <w:bCs/>
          <w14:ligatures w14:val="none"/>
        </w:rPr>
        <w:t>Mental Health (22%)</w:t>
      </w:r>
      <w:r w:rsidRPr="001221DF">
        <w:rPr>
          <w:rFonts w:ascii="Arial" w:hAnsi="Arial" w:cs="Arial"/>
          <w14:ligatures w14:val="none"/>
        </w:rPr>
        <w:t xml:space="preserve">, and </w:t>
      </w:r>
      <w:r w:rsidRPr="001221DF">
        <w:rPr>
          <w:rFonts w:ascii="Arial" w:hAnsi="Arial" w:cs="Arial"/>
          <w:b/>
          <w:bCs/>
          <w14:ligatures w14:val="none"/>
        </w:rPr>
        <w:t>Vision (17.5%)</w:t>
      </w:r>
      <w:r w:rsidRPr="001221DF">
        <w:rPr>
          <w:rFonts w:ascii="Arial" w:hAnsi="Arial" w:cs="Arial"/>
          <w14:ligatures w14:val="none"/>
        </w:rPr>
        <w:t xml:space="preserve">. Employee </w:t>
      </w:r>
      <w:proofErr w:type="spellStart"/>
      <w:r w:rsidRPr="001221DF">
        <w:rPr>
          <w:rFonts w:ascii="Arial" w:hAnsi="Arial" w:cs="Arial"/>
          <w14:ligatures w14:val="none"/>
        </w:rPr>
        <w:t>enrollment</w:t>
      </w:r>
      <w:proofErr w:type="spellEnd"/>
      <w:r w:rsidRPr="001221DF">
        <w:rPr>
          <w:rFonts w:ascii="Arial" w:hAnsi="Arial" w:cs="Arial"/>
          <w14:ligatures w14:val="none"/>
        </w:rPr>
        <w:t xml:space="preserve"> peaked in </w:t>
      </w:r>
      <w:r w:rsidRPr="001221DF">
        <w:rPr>
          <w:rFonts w:ascii="Arial" w:hAnsi="Arial" w:cs="Arial"/>
          <w:b/>
          <w:bCs/>
          <w14:ligatures w14:val="none"/>
        </w:rPr>
        <w:t>2025</w:t>
      </w:r>
      <w:r w:rsidRPr="001221DF">
        <w:rPr>
          <w:rFonts w:ascii="Arial" w:hAnsi="Arial" w:cs="Arial"/>
          <w14:ligatures w14:val="none"/>
        </w:rPr>
        <w:t xml:space="preserve">, followed by a slight decline after </w:t>
      </w:r>
      <w:r w:rsidRPr="001221DF">
        <w:rPr>
          <w:rFonts w:ascii="Arial" w:hAnsi="Arial" w:cs="Arial"/>
          <w:b/>
          <w:bCs/>
          <w14:ligatures w14:val="none"/>
        </w:rPr>
        <w:t>2026</w:t>
      </w:r>
      <w:r w:rsidRPr="001221DF">
        <w:rPr>
          <w:rFonts w:ascii="Arial" w:hAnsi="Arial" w:cs="Arial"/>
          <w14:ligatures w14:val="none"/>
        </w:rPr>
        <w:t>.</w:t>
      </w:r>
    </w:p>
    <w:p w:rsidRPr="00030969" w:rsidR="001221DF" w:rsidP="001221DF" w:rsidRDefault="001221DF" w14:paraId="6E22E7C5" w14:textId="0DA4111E">
      <w:pPr>
        <w:spacing w:before="100" w:beforeAutospacing="1" w:after="100" w:afterAutospacing="1"/>
        <w:rPr>
          <w:rFonts w:ascii="Arial" w:hAnsi="Arial" w:cs="Arial"/>
          <w14:ligatures w14:val="none"/>
        </w:rPr>
      </w:pPr>
      <w:r w:rsidRPr="001221DF">
        <w:rPr>
          <w:rFonts w:ascii="Arial" w:hAnsi="Arial" w:cs="Arial"/>
          <w14:ligatures w14:val="none"/>
        </w:rPr>
        <w:t xml:space="preserve">Strategic initiatives moving forward include relaunching awareness campaigns for underutilized programs such as Wellness, </w:t>
      </w:r>
      <w:proofErr w:type="spellStart"/>
      <w:r w:rsidRPr="001221DF">
        <w:rPr>
          <w:rFonts w:ascii="Arial" w:hAnsi="Arial" w:cs="Arial"/>
          <w14:ligatures w14:val="none"/>
        </w:rPr>
        <w:t>analyzing</w:t>
      </w:r>
      <w:proofErr w:type="spellEnd"/>
      <w:r w:rsidRPr="001221DF">
        <w:rPr>
          <w:rFonts w:ascii="Arial" w:hAnsi="Arial" w:cs="Arial"/>
          <w14:ligatures w14:val="none"/>
        </w:rPr>
        <w:t xml:space="preserve"> the correlation between benefits engagement and store productivity to guide benefit adjustments, and incentivizing participation in health and vision plans through performance-linked bonuses.</w:t>
      </w:r>
    </w:p>
    <w:p w:rsidRPr="00030969" w:rsidR="001221DF" w:rsidP="001221DF" w:rsidRDefault="001221DF" w14:paraId="5E337F6C" w14:textId="77777777">
      <w:pPr>
        <w:rPr>
          <w:rFonts w:ascii="Arial" w:hAnsi="Arial" w:cs="Arial"/>
          <w:lang w:val="en-US" w:eastAsia="en-US"/>
        </w:rPr>
      </w:pPr>
    </w:p>
    <w:p w:rsidRPr="00030969" w:rsidR="00C57D80" w:rsidP="003E379D" w:rsidRDefault="00C57D80" w14:paraId="72AB1D70" w14:textId="7490753F">
      <w:pPr>
        <w:jc w:val="both"/>
        <w:rPr>
          <w:rFonts w:ascii="Arial" w:hAnsi="Arial" w:cs="Arial"/>
          <w:lang w:val="en-US"/>
          <w14:ligatures w14:val="none"/>
        </w:rPr>
      </w:pPr>
      <w:r w:rsidRPr="00030969">
        <w:rPr>
          <w:rFonts w:ascii="Arial" w:hAnsi="Arial" w:cs="Arial"/>
          <w:b/>
          <w:bCs/>
          <w:lang w:val="en-US"/>
          <w14:ligatures w14:val="none"/>
        </w:rPr>
        <w:t>Expanded Domains (Proof of Concept)</w:t>
      </w:r>
    </w:p>
    <w:p w:rsidRPr="00030969" w:rsidR="00C57D80" w:rsidP="008B3EBD" w:rsidRDefault="00C57D80" w14:paraId="299553D7" w14:textId="77777777">
      <w:p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To strengthen long-term insight capability, we added exploratory metrics in the following areas:</w:t>
      </w:r>
    </w:p>
    <w:p w:rsidRPr="00030969" w:rsidR="00C57D80" w:rsidP="008B3EBD" w:rsidRDefault="00C57D80" w14:paraId="60BE2636" w14:textId="77777777">
      <w:pPr>
        <w:numPr>
          <w:ilvl w:val="0"/>
          <w:numId w:val="15"/>
        </w:numPr>
        <w:spacing w:before="100" w:beforeAutospacing="1" w:after="100" w:afterAutospacing="1"/>
        <w:jc w:val="both"/>
        <w:rPr>
          <w:rFonts w:ascii="Arial" w:hAnsi="Arial" w:cs="Arial"/>
          <w:lang w:val="en-US"/>
          <w14:ligatures w14:val="none"/>
        </w:rPr>
      </w:pPr>
      <w:r w:rsidRPr="00030969">
        <w:rPr>
          <w:rFonts w:ascii="Arial" w:hAnsi="Arial" w:cs="Arial"/>
          <w:b/>
          <w:bCs/>
          <w:lang w:val="en-US"/>
          <w14:ligatures w14:val="none"/>
        </w:rPr>
        <w:t>Marketing Effectiveness</w:t>
      </w:r>
      <w:r w:rsidRPr="00030969">
        <w:rPr>
          <w:rFonts w:ascii="Arial" w:hAnsi="Arial" w:cs="Arial"/>
          <w:lang w:val="en-US"/>
          <w14:ligatures w14:val="none"/>
        </w:rPr>
        <w:t>: Uplift and ROI modeled from campaign-level attribution.</w:t>
      </w:r>
    </w:p>
    <w:p w:rsidRPr="00030969" w:rsidR="00C57D80" w:rsidP="008B3EBD" w:rsidRDefault="00C57D80" w14:paraId="79CCCDEA" w14:textId="77777777">
      <w:pPr>
        <w:numPr>
          <w:ilvl w:val="0"/>
          <w:numId w:val="15"/>
        </w:numPr>
        <w:spacing w:before="100" w:beforeAutospacing="1" w:after="100" w:afterAutospacing="1"/>
        <w:jc w:val="both"/>
        <w:rPr>
          <w:rFonts w:ascii="Arial" w:hAnsi="Arial" w:cs="Arial"/>
          <w:lang w:val="en-US"/>
          <w14:ligatures w14:val="none"/>
        </w:rPr>
      </w:pPr>
      <w:r w:rsidRPr="00030969">
        <w:rPr>
          <w:rFonts w:ascii="Arial" w:hAnsi="Arial" w:cs="Arial"/>
          <w:b/>
          <w:bCs/>
          <w:lang w:val="en-US"/>
          <w14:ligatures w14:val="none"/>
        </w:rPr>
        <w:t>Customer Sentiment</w:t>
      </w:r>
      <w:r w:rsidRPr="00030969">
        <w:rPr>
          <w:rFonts w:ascii="Arial" w:hAnsi="Arial" w:cs="Arial"/>
          <w:lang w:val="en-US"/>
          <w14:ligatures w14:val="none"/>
        </w:rPr>
        <w:t>: Simulated NPS and reviews tied to store churn.</w:t>
      </w:r>
    </w:p>
    <w:p w:rsidRPr="00030969" w:rsidR="00C57D80" w:rsidP="008B3EBD" w:rsidRDefault="00C57D80" w14:paraId="41048437" w14:textId="77777777">
      <w:pPr>
        <w:numPr>
          <w:ilvl w:val="0"/>
          <w:numId w:val="15"/>
        </w:numPr>
        <w:spacing w:before="100" w:beforeAutospacing="1" w:after="100" w:afterAutospacing="1"/>
        <w:jc w:val="both"/>
        <w:rPr>
          <w:rFonts w:ascii="Arial" w:hAnsi="Arial" w:cs="Arial"/>
          <w:lang w:val="en-US"/>
          <w14:ligatures w14:val="none"/>
        </w:rPr>
      </w:pPr>
      <w:r w:rsidRPr="00030969">
        <w:rPr>
          <w:rFonts w:ascii="Arial" w:hAnsi="Arial" w:cs="Arial"/>
          <w:b/>
          <w:bCs/>
          <w:lang w:val="en-US"/>
          <w14:ligatures w14:val="none"/>
        </w:rPr>
        <w:t>Sustainability Index</w:t>
      </w:r>
      <w:r w:rsidRPr="00030969">
        <w:rPr>
          <w:rFonts w:ascii="Arial" w:hAnsi="Arial" w:cs="Arial"/>
          <w:lang w:val="en-US"/>
          <w14:ligatures w14:val="none"/>
        </w:rPr>
        <w:t>: Modeled cost reductions from eco-certified buildings.</w:t>
      </w:r>
    </w:p>
    <w:p w:rsidRPr="00030969" w:rsidR="00C57D80" w:rsidP="008B3EBD" w:rsidRDefault="00C57D80" w14:paraId="655115B5" w14:textId="77777777">
      <w:pPr>
        <w:numPr>
          <w:ilvl w:val="0"/>
          <w:numId w:val="15"/>
        </w:numPr>
        <w:spacing w:before="100" w:beforeAutospacing="1" w:after="100" w:afterAutospacing="1"/>
        <w:jc w:val="both"/>
        <w:rPr>
          <w:rFonts w:ascii="Arial" w:hAnsi="Arial" w:cs="Arial"/>
          <w:lang w:val="en-US"/>
          <w14:ligatures w14:val="none"/>
        </w:rPr>
      </w:pPr>
      <w:r w:rsidRPr="00030969">
        <w:rPr>
          <w:rFonts w:ascii="Arial" w:hAnsi="Arial" w:cs="Arial"/>
          <w:b/>
          <w:bCs/>
          <w:lang w:val="en-US"/>
          <w14:ligatures w14:val="none"/>
        </w:rPr>
        <w:t>Vendor Scorecard</w:t>
      </w:r>
      <w:r w:rsidRPr="00030969">
        <w:rPr>
          <w:rFonts w:ascii="Arial" w:hAnsi="Arial" w:cs="Arial"/>
          <w:lang w:val="en-US"/>
          <w14:ligatures w14:val="none"/>
        </w:rPr>
        <w:t>: Analyzed delivery delays and impact on sales loss.</w:t>
      </w:r>
    </w:p>
    <w:p w:rsidRPr="00030969" w:rsidR="00C57D80" w:rsidP="00FB07D4" w:rsidRDefault="00C57D80" w14:paraId="002D7854" w14:textId="7C0DBE53">
      <w:pPr>
        <w:numPr>
          <w:ilvl w:val="0"/>
          <w:numId w:val="15"/>
        </w:numPr>
        <w:spacing w:before="100" w:beforeAutospacing="1" w:after="100" w:afterAutospacing="1"/>
        <w:jc w:val="both"/>
        <w:rPr>
          <w:rFonts w:ascii="Arial" w:hAnsi="Arial" w:cs="Arial"/>
          <w:lang w:val="en-US"/>
          <w14:ligatures w14:val="none"/>
        </w:rPr>
      </w:pPr>
      <w:r w:rsidRPr="00030969">
        <w:rPr>
          <w:rFonts w:ascii="Arial" w:hAnsi="Arial" w:cs="Arial"/>
          <w:b/>
          <w:bCs/>
          <w:lang w:val="en-US"/>
          <w14:ligatures w14:val="none"/>
        </w:rPr>
        <w:t>Workforce Efficiency</w:t>
      </w:r>
      <w:r w:rsidRPr="00030969">
        <w:rPr>
          <w:rFonts w:ascii="Arial" w:hAnsi="Arial" w:cs="Arial"/>
          <w:lang w:val="en-US"/>
          <w14:ligatures w14:val="none"/>
        </w:rPr>
        <w:t>: Mapped staffing against footfall and service quality.</w:t>
      </w:r>
    </w:p>
    <w:p w:rsidRPr="00030969" w:rsidR="001221DF" w:rsidP="008B3EBD" w:rsidRDefault="001221DF" w14:paraId="05639DB0" w14:textId="77777777">
      <w:pPr>
        <w:spacing w:before="100" w:beforeAutospacing="1" w:after="100" w:afterAutospacing="1"/>
        <w:jc w:val="both"/>
        <w:outlineLvl w:val="1"/>
        <w:rPr>
          <w:rFonts w:ascii="Arial" w:hAnsi="Arial" w:cs="Arial"/>
          <w:b/>
          <w:bCs/>
          <w:lang w:val="en-US"/>
          <w14:ligatures w14:val="none"/>
        </w:rPr>
      </w:pPr>
    </w:p>
    <w:p w:rsidRPr="00030969" w:rsidR="00C57D80" w:rsidP="008B3EBD" w:rsidRDefault="00C57D80" w14:paraId="6B6DE18A" w14:textId="6A316E5C">
      <w:pPr>
        <w:spacing w:before="100" w:beforeAutospacing="1" w:after="100" w:afterAutospacing="1"/>
        <w:jc w:val="both"/>
        <w:outlineLvl w:val="1"/>
        <w:rPr>
          <w:rFonts w:ascii="Arial" w:hAnsi="Arial" w:cs="Arial"/>
          <w:b/>
          <w:bCs/>
          <w:lang w:val="en-US"/>
          <w14:ligatures w14:val="none"/>
        </w:rPr>
      </w:pPr>
      <w:r w:rsidRPr="00030969">
        <w:rPr>
          <w:rFonts w:ascii="Arial" w:hAnsi="Arial" w:cs="Arial"/>
          <w:b/>
          <w:bCs/>
          <w:lang w:val="en-US"/>
          <w14:ligatures w14:val="none"/>
        </w:rPr>
        <w:t>Conclusion</w:t>
      </w:r>
    </w:p>
    <w:p w:rsidRPr="00030969" w:rsidR="00C57D80" w:rsidP="00FB07D4" w:rsidRDefault="00C57D80" w14:paraId="4BCF1658" w14:textId="7AF1655D">
      <w:pPr>
        <w:spacing w:before="100" w:beforeAutospacing="1" w:after="100" w:afterAutospacing="1"/>
        <w:jc w:val="both"/>
        <w:rPr>
          <w:rFonts w:ascii="Arial" w:hAnsi="Arial" w:cs="Arial"/>
          <w:lang w:val="en-US"/>
          <w14:ligatures w14:val="none"/>
        </w:rPr>
      </w:pPr>
      <w:r w:rsidRPr="00030969" w:rsidR="00C57D80">
        <w:rPr>
          <w:rFonts w:ascii="Arial" w:hAnsi="Arial" w:cs="Arial"/>
          <w:lang w:val="en-US"/>
          <w14:ligatures w14:val="none"/>
        </w:rPr>
        <w:t>This project successfully demonstrates how Walmart Canada can use a real-time BI ecosystem to interlink multiple business operations. The use of a unified star schema, interactive dashboards, and actionable KPIs turns raw data into strategic intelligence.</w:t>
      </w:r>
    </w:p>
    <w:p w:rsidR="3F9C8124" w:rsidP="3F9C8124" w:rsidRDefault="3F9C8124" w14:paraId="208A66AF" w14:textId="1280A69F">
      <w:pPr>
        <w:spacing w:beforeAutospacing="on" w:afterAutospacing="on"/>
        <w:jc w:val="both"/>
        <w:outlineLvl w:val="1"/>
        <w:rPr>
          <w:rFonts w:ascii="Arial" w:hAnsi="Arial" w:cs="Arial"/>
          <w:b w:val="1"/>
          <w:bCs w:val="1"/>
          <w:lang w:val="en-US"/>
        </w:rPr>
      </w:pPr>
    </w:p>
    <w:p w:rsidRPr="00030969" w:rsidR="00C57D80" w:rsidP="008B3EBD" w:rsidRDefault="00C57D80" w14:paraId="62991B96" w14:textId="04569D6F">
      <w:pPr>
        <w:spacing w:before="100" w:beforeAutospacing="1" w:after="100" w:afterAutospacing="1"/>
        <w:jc w:val="both"/>
        <w:outlineLvl w:val="1"/>
        <w:rPr>
          <w:rFonts w:ascii="Arial" w:hAnsi="Arial" w:cs="Arial"/>
          <w:b/>
          <w:bCs/>
          <w:lang w:val="en-US"/>
          <w14:ligatures w14:val="none"/>
        </w:rPr>
      </w:pPr>
      <w:r w:rsidRPr="00030969">
        <w:rPr>
          <w:rFonts w:ascii="Arial" w:hAnsi="Arial" w:cs="Arial"/>
          <w:b/>
          <w:bCs/>
          <w:lang w:val="en-US"/>
          <w14:ligatures w14:val="none"/>
        </w:rPr>
        <w:lastRenderedPageBreak/>
        <w:t>Recommendations</w:t>
      </w:r>
    </w:p>
    <w:p w:rsidRPr="00030969" w:rsidR="00C57D80" w:rsidP="008B3EBD" w:rsidRDefault="00C57D80" w14:paraId="26C43FBB" w14:textId="77777777">
      <w:pPr>
        <w:numPr>
          <w:ilvl w:val="0"/>
          <w:numId w:val="16"/>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Proceed with new store development in Laval, based on top site score.</w:t>
      </w:r>
    </w:p>
    <w:p w:rsidRPr="00030969" w:rsidR="00C57D80" w:rsidP="008B3EBD" w:rsidRDefault="00C57D80" w14:paraId="51CDB489" w14:textId="77777777">
      <w:pPr>
        <w:numPr>
          <w:ilvl w:val="0"/>
          <w:numId w:val="16"/>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Optimize underutilized warehouses, particularly Alberta.</w:t>
      </w:r>
    </w:p>
    <w:p w:rsidRPr="00030969" w:rsidR="00C57D80" w:rsidP="008B3EBD" w:rsidRDefault="00C57D80" w14:paraId="5B93D02C" w14:textId="77777777">
      <w:pPr>
        <w:numPr>
          <w:ilvl w:val="0"/>
          <w:numId w:val="16"/>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Expand targeted discount strategies in Home Goods and Grocery.</w:t>
      </w:r>
    </w:p>
    <w:p w:rsidRPr="00030969" w:rsidR="00C57D80" w:rsidP="008B3EBD" w:rsidRDefault="00C57D80" w14:paraId="50A6111C" w14:textId="77777777">
      <w:pPr>
        <w:numPr>
          <w:ilvl w:val="0"/>
          <w:numId w:val="16"/>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Incentivize benefit plan engagement, especially among high-retention departments.</w:t>
      </w:r>
    </w:p>
    <w:p w:rsidRPr="00030969" w:rsidR="00C57D80" w:rsidP="008B3EBD" w:rsidRDefault="00C57D80" w14:paraId="0DEB32F2" w14:textId="77777777">
      <w:pPr>
        <w:numPr>
          <w:ilvl w:val="0"/>
          <w:numId w:val="16"/>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Enhance mobile and digital wallet adoption through fintech partnerships.</w:t>
      </w:r>
    </w:p>
    <w:p w:rsidRPr="00030969" w:rsidR="00C57D80" w:rsidP="00FB07D4" w:rsidRDefault="00C57D80" w14:paraId="20910616" w14:textId="2F61B0E4">
      <w:pPr>
        <w:spacing w:before="100" w:beforeAutospacing="1" w:after="100" w:afterAutospacing="1"/>
        <w:ind w:left="720"/>
        <w:jc w:val="both"/>
        <w:rPr>
          <w:rFonts w:ascii="Arial" w:hAnsi="Arial" w:cs="Arial"/>
          <w:lang w:val="en-US"/>
          <w14:ligatures w14:val="none"/>
        </w:rPr>
      </w:pPr>
      <w:r w:rsidRPr="00030969">
        <w:rPr>
          <w:rFonts w:ascii="Arial" w:hAnsi="Arial" w:cs="Arial"/>
          <w:b/>
          <w:bCs/>
          <w:lang w:val="en-US"/>
          <w14:ligatures w14:val="none"/>
        </w:rPr>
        <w:t>References</w:t>
      </w:r>
    </w:p>
    <w:p w:rsidRPr="00030969" w:rsidR="00C57D80" w:rsidP="008B3EBD" w:rsidRDefault="00C57D80" w14:paraId="76A3503B" w14:textId="77777777">
      <w:pPr>
        <w:numPr>
          <w:ilvl w:val="0"/>
          <w:numId w:val="17"/>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 xml:space="preserve">Kimball, R., &amp; Ross, M. </w:t>
      </w:r>
      <w:r w:rsidRPr="00030969">
        <w:rPr>
          <w:rFonts w:ascii="Arial" w:hAnsi="Arial" w:cs="Arial"/>
          <w:i/>
          <w:iCs/>
          <w:lang w:val="en-US"/>
          <w14:ligatures w14:val="none"/>
        </w:rPr>
        <w:t>The Data Warehouse Toolkit</w:t>
      </w:r>
      <w:r w:rsidRPr="00030969">
        <w:rPr>
          <w:rFonts w:ascii="Arial" w:hAnsi="Arial" w:cs="Arial"/>
          <w:lang w:val="en-US"/>
          <w14:ligatures w14:val="none"/>
        </w:rPr>
        <w:t>, 3rd ed. Wiley.</w:t>
      </w:r>
    </w:p>
    <w:p w:rsidRPr="00030969" w:rsidR="00C57D80" w:rsidP="008B3EBD" w:rsidRDefault="00C57D80" w14:paraId="7249EA41" w14:textId="77777777">
      <w:pPr>
        <w:numPr>
          <w:ilvl w:val="0"/>
          <w:numId w:val="17"/>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 xml:space="preserve">Power BI Docs: </w:t>
      </w:r>
      <w:hyperlink w:history="1" r:id="rId7">
        <w:r w:rsidRPr="00030969">
          <w:rPr>
            <w:rFonts w:ascii="Arial" w:hAnsi="Arial" w:cs="Arial"/>
            <w:color w:val="0000FF"/>
            <w:u w:val="single"/>
            <w:lang w:val="en-US"/>
            <w14:ligatures w14:val="none"/>
          </w:rPr>
          <w:t>https://docs.microsoft.com/en-us/power-bi/</w:t>
        </w:r>
      </w:hyperlink>
    </w:p>
    <w:p w:rsidRPr="00030969" w:rsidR="00C57D80" w:rsidP="008B3EBD" w:rsidRDefault="00091AE5" w14:paraId="18ACC583" w14:textId="77777777">
      <w:pPr>
        <w:numPr>
          <w:ilvl w:val="0"/>
          <w:numId w:val="17"/>
        </w:numPr>
        <w:spacing w:before="100" w:beforeAutospacing="1" w:after="100" w:afterAutospacing="1"/>
        <w:jc w:val="both"/>
        <w:rPr>
          <w:rFonts w:ascii="Arial" w:hAnsi="Arial" w:cs="Arial"/>
          <w:lang w:val="en-US"/>
          <w14:ligatures w14:val="none"/>
        </w:rPr>
      </w:pPr>
      <w:proofErr w:type="spellStart"/>
      <w:r w:rsidRPr="00030969">
        <w:rPr>
          <w:rFonts w:ascii="Arial" w:hAnsi="Arial" w:cs="Arial"/>
          <w:lang w:val="en-US"/>
          <w14:ligatures w14:val="none"/>
        </w:rPr>
        <w:t>Streamlit</w:t>
      </w:r>
      <w:proofErr w:type="spellEnd"/>
      <w:r w:rsidRPr="00030969">
        <w:rPr>
          <w:rFonts w:ascii="Arial" w:hAnsi="Arial" w:cs="Arial"/>
          <w:lang w:val="en-US"/>
          <w14:ligatures w14:val="none"/>
        </w:rPr>
        <w:t xml:space="preserve"> Docs: </w:t>
      </w:r>
      <w:hyperlink w:history="1" r:id="rId8">
        <w:r w:rsidRPr="00030969">
          <w:rPr>
            <w:rFonts w:ascii="Arial" w:hAnsi="Arial" w:cs="Arial"/>
            <w:color w:val="0000FF"/>
            <w:u w:val="single"/>
            <w:lang w:val="en-US"/>
            <w14:ligatures w14:val="none"/>
          </w:rPr>
          <w:t>https://docs.streamlit.io/</w:t>
        </w:r>
      </w:hyperlink>
    </w:p>
    <w:p w:rsidRPr="00030969" w:rsidR="000A4350" w:rsidP="008B3EBD" w:rsidRDefault="00C57D80" w14:paraId="6E71447A" w14:textId="34A6B15B">
      <w:pPr>
        <w:numPr>
          <w:ilvl w:val="0"/>
          <w:numId w:val="17"/>
        </w:numPr>
        <w:spacing w:before="100" w:beforeAutospacing="1" w:after="100" w:afterAutospacing="1"/>
        <w:jc w:val="both"/>
        <w:rPr>
          <w:rFonts w:ascii="Arial" w:hAnsi="Arial" w:cs="Arial"/>
          <w:lang w:val="en-US"/>
          <w14:ligatures w14:val="none"/>
        </w:rPr>
      </w:pPr>
      <w:r w:rsidRPr="00030969">
        <w:rPr>
          <w:rFonts w:ascii="Arial" w:hAnsi="Arial" w:cs="Arial"/>
          <w:lang w:val="en-US"/>
          <w14:ligatures w14:val="none"/>
        </w:rPr>
        <w:t xml:space="preserve">Walmart Canada Sustainability Hub: </w:t>
      </w:r>
      <w:hyperlink w:history="1" r:id="rId9">
        <w:r w:rsidRPr="00030969">
          <w:rPr>
            <w:rFonts w:ascii="Arial" w:hAnsi="Arial" w:cs="Arial"/>
            <w:color w:val="0000FF"/>
            <w:u w:val="single"/>
            <w:lang w:val="en-US"/>
            <w14:ligatures w14:val="none"/>
          </w:rPr>
          <w:t>https://www.walmartcanada.ca/sustainability</w:t>
        </w:r>
      </w:hyperlink>
    </w:p>
    <w:p w:rsidRPr="00030969" w:rsidR="001221DF" w:rsidP="001221DF" w:rsidRDefault="001221DF" w14:paraId="42664BE8" w14:textId="77777777">
      <w:pPr>
        <w:spacing w:before="100" w:beforeAutospacing="1" w:after="100" w:afterAutospacing="1"/>
        <w:jc w:val="both"/>
        <w:rPr>
          <w:rFonts w:ascii="Arial" w:hAnsi="Arial" w:cs="Arial"/>
        </w:rPr>
      </w:pPr>
    </w:p>
    <w:p w:rsidRPr="00030969" w:rsidR="001221DF" w:rsidP="001221DF" w:rsidRDefault="001221DF" w14:paraId="2796360D" w14:textId="77777777">
      <w:pPr>
        <w:spacing w:before="100" w:beforeAutospacing="1" w:after="100" w:afterAutospacing="1"/>
        <w:jc w:val="both"/>
        <w:rPr>
          <w:rFonts w:ascii="Arial" w:hAnsi="Arial" w:cs="Arial"/>
        </w:rPr>
      </w:pPr>
    </w:p>
    <w:p w:rsidRPr="00030969" w:rsidR="001221DF" w:rsidP="001221DF" w:rsidRDefault="001221DF" w14:paraId="62E73288" w14:textId="77777777">
      <w:pPr>
        <w:spacing w:before="100" w:beforeAutospacing="1" w:after="100" w:afterAutospacing="1"/>
        <w:jc w:val="both"/>
        <w:rPr>
          <w:rFonts w:ascii="Arial" w:hAnsi="Arial" w:cs="Arial"/>
        </w:rPr>
      </w:pPr>
    </w:p>
    <w:p w:rsidRPr="00030969" w:rsidR="001221DF" w:rsidP="001221DF" w:rsidRDefault="001221DF" w14:paraId="0C40BDB5" w14:textId="77777777">
      <w:pPr>
        <w:spacing w:before="100" w:beforeAutospacing="1" w:after="100" w:afterAutospacing="1"/>
        <w:jc w:val="both"/>
        <w:rPr>
          <w:rFonts w:ascii="Arial" w:hAnsi="Arial" w:cs="Arial"/>
        </w:rPr>
      </w:pPr>
    </w:p>
    <w:sectPr w:rsidRPr="00030969" w:rsidR="001221DF">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37D5" w:rsidP="00667690" w:rsidRDefault="009C37D5" w14:paraId="5AE5635F" w14:textId="77777777">
      <w:r>
        <w:separator/>
      </w:r>
    </w:p>
  </w:endnote>
  <w:endnote w:type="continuationSeparator" w:id="0">
    <w:p w:rsidR="009C37D5" w:rsidP="00667690" w:rsidRDefault="009C37D5" w14:paraId="11132897" w14:textId="77777777">
      <w:r>
        <w:continuationSeparator/>
      </w:r>
    </w:p>
  </w:endnote>
  <w:endnote w:type="continuationNotice" w:id="1">
    <w:p w:rsidR="009C37D5" w:rsidRDefault="009C37D5" w14:paraId="1C665E9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37D5" w:rsidP="00667690" w:rsidRDefault="009C37D5" w14:paraId="329846B7" w14:textId="77777777">
      <w:r>
        <w:separator/>
      </w:r>
    </w:p>
  </w:footnote>
  <w:footnote w:type="continuationSeparator" w:id="0">
    <w:p w:rsidR="009C37D5" w:rsidP="00667690" w:rsidRDefault="009C37D5" w14:paraId="4FA99E80" w14:textId="77777777">
      <w:r>
        <w:continuationSeparator/>
      </w:r>
    </w:p>
  </w:footnote>
  <w:footnote w:type="continuationNotice" w:id="1">
    <w:p w:rsidR="009C37D5" w:rsidRDefault="009C37D5" w14:paraId="5D6CA08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80D7E"/>
    <w:multiLevelType w:val="multilevel"/>
    <w:tmpl w:val="B25050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93F2E27"/>
    <w:multiLevelType w:val="multilevel"/>
    <w:tmpl w:val="8F6A67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99D19EF"/>
    <w:multiLevelType w:val="multilevel"/>
    <w:tmpl w:val="1B865B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7E50C4"/>
    <w:multiLevelType w:val="multilevel"/>
    <w:tmpl w:val="4684C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E7B2CB3"/>
    <w:multiLevelType w:val="multilevel"/>
    <w:tmpl w:val="F7BECE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9C711B8"/>
    <w:multiLevelType w:val="multilevel"/>
    <w:tmpl w:val="E2B0F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3B34B9F"/>
    <w:multiLevelType w:val="multilevel"/>
    <w:tmpl w:val="A06CF7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AED0047"/>
    <w:multiLevelType w:val="multilevel"/>
    <w:tmpl w:val="83C6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416432"/>
    <w:multiLevelType w:val="multilevel"/>
    <w:tmpl w:val="6030B0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E407823"/>
    <w:multiLevelType w:val="multilevel"/>
    <w:tmpl w:val="533443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9704265"/>
    <w:multiLevelType w:val="multilevel"/>
    <w:tmpl w:val="D4069F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9827E1D"/>
    <w:multiLevelType w:val="multilevel"/>
    <w:tmpl w:val="DE40F3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D4C3D03"/>
    <w:multiLevelType w:val="multilevel"/>
    <w:tmpl w:val="D424F3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F707E14"/>
    <w:multiLevelType w:val="multilevel"/>
    <w:tmpl w:val="2AA8F1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8412483"/>
    <w:multiLevelType w:val="multilevel"/>
    <w:tmpl w:val="BBAAFF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A21272B"/>
    <w:multiLevelType w:val="multilevel"/>
    <w:tmpl w:val="C792DE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CF34E40"/>
    <w:multiLevelType w:val="multilevel"/>
    <w:tmpl w:val="66BC9A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75613044">
    <w:abstractNumId w:val="5"/>
  </w:num>
  <w:num w:numId="2" w16cid:durableId="1468627771">
    <w:abstractNumId w:val="12"/>
  </w:num>
  <w:num w:numId="3" w16cid:durableId="23097164">
    <w:abstractNumId w:val="10"/>
  </w:num>
  <w:num w:numId="4" w16cid:durableId="1267158877">
    <w:abstractNumId w:val="2"/>
  </w:num>
  <w:num w:numId="5" w16cid:durableId="1843816100">
    <w:abstractNumId w:val="8"/>
  </w:num>
  <w:num w:numId="6" w16cid:durableId="213203988">
    <w:abstractNumId w:val="13"/>
  </w:num>
  <w:num w:numId="7" w16cid:durableId="1402480110">
    <w:abstractNumId w:val="0"/>
  </w:num>
  <w:num w:numId="8" w16cid:durableId="697854097">
    <w:abstractNumId w:val="6"/>
  </w:num>
  <w:num w:numId="9" w16cid:durableId="600727941">
    <w:abstractNumId w:val="4"/>
  </w:num>
  <w:num w:numId="10" w16cid:durableId="1094059831">
    <w:abstractNumId w:val="14"/>
  </w:num>
  <w:num w:numId="11" w16cid:durableId="1279335364">
    <w:abstractNumId w:val="16"/>
  </w:num>
  <w:num w:numId="12" w16cid:durableId="1234926824">
    <w:abstractNumId w:val="9"/>
  </w:num>
  <w:num w:numId="13" w16cid:durableId="730424230">
    <w:abstractNumId w:val="1"/>
  </w:num>
  <w:num w:numId="14" w16cid:durableId="261107160">
    <w:abstractNumId w:val="3"/>
  </w:num>
  <w:num w:numId="15" w16cid:durableId="1016884843">
    <w:abstractNumId w:val="15"/>
  </w:num>
  <w:num w:numId="16" w16cid:durableId="637535294">
    <w:abstractNumId w:val="7"/>
  </w:num>
  <w:num w:numId="17" w16cid:durableId="17001574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E5"/>
    <w:rsid w:val="00030969"/>
    <w:rsid w:val="00031FFF"/>
    <w:rsid w:val="000633D3"/>
    <w:rsid w:val="00082EA5"/>
    <w:rsid w:val="00091AE5"/>
    <w:rsid w:val="00092C3C"/>
    <w:rsid w:val="000A4350"/>
    <w:rsid w:val="000A76BE"/>
    <w:rsid w:val="000D4C3B"/>
    <w:rsid w:val="0011281D"/>
    <w:rsid w:val="001221DF"/>
    <w:rsid w:val="00127550"/>
    <w:rsid w:val="00132AB6"/>
    <w:rsid w:val="0015734D"/>
    <w:rsid w:val="00160BED"/>
    <w:rsid w:val="001973C6"/>
    <w:rsid w:val="001A245A"/>
    <w:rsid w:val="001B4F75"/>
    <w:rsid w:val="001D6CAB"/>
    <w:rsid w:val="001E6C2C"/>
    <w:rsid w:val="001F15B2"/>
    <w:rsid w:val="00210AB5"/>
    <w:rsid w:val="00212A5F"/>
    <w:rsid w:val="00222324"/>
    <w:rsid w:val="0026785F"/>
    <w:rsid w:val="00273160"/>
    <w:rsid w:val="00287259"/>
    <w:rsid w:val="00295885"/>
    <w:rsid w:val="002A6C6D"/>
    <w:rsid w:val="002C1AF3"/>
    <w:rsid w:val="00316491"/>
    <w:rsid w:val="00320016"/>
    <w:rsid w:val="003555FF"/>
    <w:rsid w:val="00367E93"/>
    <w:rsid w:val="00371314"/>
    <w:rsid w:val="003A61F6"/>
    <w:rsid w:val="003A7BF5"/>
    <w:rsid w:val="003B04F0"/>
    <w:rsid w:val="003B05DF"/>
    <w:rsid w:val="003C5470"/>
    <w:rsid w:val="003D2DCA"/>
    <w:rsid w:val="003D73D3"/>
    <w:rsid w:val="003E379D"/>
    <w:rsid w:val="003E728B"/>
    <w:rsid w:val="003F47CA"/>
    <w:rsid w:val="003F6FFB"/>
    <w:rsid w:val="004022B7"/>
    <w:rsid w:val="00444332"/>
    <w:rsid w:val="0044527F"/>
    <w:rsid w:val="00445D87"/>
    <w:rsid w:val="0045209E"/>
    <w:rsid w:val="00455AEB"/>
    <w:rsid w:val="00455E32"/>
    <w:rsid w:val="00466CAA"/>
    <w:rsid w:val="0047499B"/>
    <w:rsid w:val="00495F8A"/>
    <w:rsid w:val="004C6A2D"/>
    <w:rsid w:val="004E28B8"/>
    <w:rsid w:val="00502A21"/>
    <w:rsid w:val="005147EE"/>
    <w:rsid w:val="005211F0"/>
    <w:rsid w:val="00523404"/>
    <w:rsid w:val="00526226"/>
    <w:rsid w:val="0054053D"/>
    <w:rsid w:val="00543437"/>
    <w:rsid w:val="0057271B"/>
    <w:rsid w:val="00583195"/>
    <w:rsid w:val="00592B29"/>
    <w:rsid w:val="005B6169"/>
    <w:rsid w:val="005F5D0D"/>
    <w:rsid w:val="00607D3B"/>
    <w:rsid w:val="006149A4"/>
    <w:rsid w:val="00615FA9"/>
    <w:rsid w:val="006509DB"/>
    <w:rsid w:val="00655CCD"/>
    <w:rsid w:val="00667690"/>
    <w:rsid w:val="00680725"/>
    <w:rsid w:val="00686072"/>
    <w:rsid w:val="00695F21"/>
    <w:rsid w:val="006C6300"/>
    <w:rsid w:val="006C7E23"/>
    <w:rsid w:val="006F61A1"/>
    <w:rsid w:val="00705536"/>
    <w:rsid w:val="00730614"/>
    <w:rsid w:val="00731D2F"/>
    <w:rsid w:val="00734980"/>
    <w:rsid w:val="007556EC"/>
    <w:rsid w:val="007712F5"/>
    <w:rsid w:val="00787436"/>
    <w:rsid w:val="007909D9"/>
    <w:rsid w:val="00793E3E"/>
    <w:rsid w:val="00796A18"/>
    <w:rsid w:val="007A26C5"/>
    <w:rsid w:val="007A7236"/>
    <w:rsid w:val="007B510C"/>
    <w:rsid w:val="007B7ECF"/>
    <w:rsid w:val="007C50F9"/>
    <w:rsid w:val="007E3831"/>
    <w:rsid w:val="007F08B6"/>
    <w:rsid w:val="007F4158"/>
    <w:rsid w:val="007F68E8"/>
    <w:rsid w:val="00802161"/>
    <w:rsid w:val="008303F4"/>
    <w:rsid w:val="00831A6C"/>
    <w:rsid w:val="008342F4"/>
    <w:rsid w:val="008508B2"/>
    <w:rsid w:val="00852797"/>
    <w:rsid w:val="00854C20"/>
    <w:rsid w:val="008672B4"/>
    <w:rsid w:val="008835D6"/>
    <w:rsid w:val="008A511B"/>
    <w:rsid w:val="008B3EBD"/>
    <w:rsid w:val="008B5C26"/>
    <w:rsid w:val="008C083F"/>
    <w:rsid w:val="008C5B56"/>
    <w:rsid w:val="008E3B66"/>
    <w:rsid w:val="008F3225"/>
    <w:rsid w:val="008F75D0"/>
    <w:rsid w:val="00926C7E"/>
    <w:rsid w:val="00932C16"/>
    <w:rsid w:val="00934C93"/>
    <w:rsid w:val="00944B40"/>
    <w:rsid w:val="00946A5E"/>
    <w:rsid w:val="00946E56"/>
    <w:rsid w:val="009546E5"/>
    <w:rsid w:val="00975661"/>
    <w:rsid w:val="00997E72"/>
    <w:rsid w:val="009A049B"/>
    <w:rsid w:val="009A362F"/>
    <w:rsid w:val="009B6333"/>
    <w:rsid w:val="009C37D5"/>
    <w:rsid w:val="009F009C"/>
    <w:rsid w:val="00A4155C"/>
    <w:rsid w:val="00A4720E"/>
    <w:rsid w:val="00A5335D"/>
    <w:rsid w:val="00A533BE"/>
    <w:rsid w:val="00A55A99"/>
    <w:rsid w:val="00A6077B"/>
    <w:rsid w:val="00A63A25"/>
    <w:rsid w:val="00A7176B"/>
    <w:rsid w:val="00A9558D"/>
    <w:rsid w:val="00AB5098"/>
    <w:rsid w:val="00AC34A6"/>
    <w:rsid w:val="00AE2CCA"/>
    <w:rsid w:val="00AE383A"/>
    <w:rsid w:val="00AE5420"/>
    <w:rsid w:val="00B001B3"/>
    <w:rsid w:val="00B018DB"/>
    <w:rsid w:val="00B0422C"/>
    <w:rsid w:val="00B226AD"/>
    <w:rsid w:val="00B2612A"/>
    <w:rsid w:val="00B34E29"/>
    <w:rsid w:val="00B529FA"/>
    <w:rsid w:val="00B55280"/>
    <w:rsid w:val="00B572E3"/>
    <w:rsid w:val="00B61845"/>
    <w:rsid w:val="00B726D3"/>
    <w:rsid w:val="00B76E21"/>
    <w:rsid w:val="00B83686"/>
    <w:rsid w:val="00B9181A"/>
    <w:rsid w:val="00BA1F7B"/>
    <w:rsid w:val="00BA6540"/>
    <w:rsid w:val="00BA6B91"/>
    <w:rsid w:val="00BB0EED"/>
    <w:rsid w:val="00BB3391"/>
    <w:rsid w:val="00BC24D0"/>
    <w:rsid w:val="00BD2457"/>
    <w:rsid w:val="00BE3F60"/>
    <w:rsid w:val="00C5565A"/>
    <w:rsid w:val="00C57D80"/>
    <w:rsid w:val="00C80C27"/>
    <w:rsid w:val="00CB3C9E"/>
    <w:rsid w:val="00D06D02"/>
    <w:rsid w:val="00D632EB"/>
    <w:rsid w:val="00DC2E24"/>
    <w:rsid w:val="00DE4DD0"/>
    <w:rsid w:val="00DE568F"/>
    <w:rsid w:val="00DE66E7"/>
    <w:rsid w:val="00DF63C4"/>
    <w:rsid w:val="00E11240"/>
    <w:rsid w:val="00E11D09"/>
    <w:rsid w:val="00E37FE9"/>
    <w:rsid w:val="00E6126B"/>
    <w:rsid w:val="00E7688D"/>
    <w:rsid w:val="00E9141D"/>
    <w:rsid w:val="00EC28F4"/>
    <w:rsid w:val="00EC3192"/>
    <w:rsid w:val="00ED05B8"/>
    <w:rsid w:val="00EE5EF7"/>
    <w:rsid w:val="00EE628A"/>
    <w:rsid w:val="00F069FD"/>
    <w:rsid w:val="00F07F09"/>
    <w:rsid w:val="00F152D1"/>
    <w:rsid w:val="00F156A0"/>
    <w:rsid w:val="00F3159E"/>
    <w:rsid w:val="00F63947"/>
    <w:rsid w:val="00F91F31"/>
    <w:rsid w:val="00FA7360"/>
    <w:rsid w:val="00FB07D4"/>
    <w:rsid w:val="00FF3980"/>
    <w:rsid w:val="00FF6D1C"/>
    <w:rsid w:val="3F9C81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39A1"/>
  <w15:chartTrackingRefBased/>
  <w15:docId w15:val="{6C452097-3BA6-47B6-B3AF-B5344B84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21DF"/>
    <w:pPr>
      <w:spacing w:after="0" w:line="240" w:lineRule="auto"/>
    </w:pPr>
    <w:rPr>
      <w:rFonts w:ascii="Times New Roman" w:hAnsi="Times New Roman" w:eastAsia="Times New Roman" w:cs="Times New Roman"/>
      <w:kern w:val="0"/>
      <w:sz w:val="24"/>
      <w:szCs w:val="24"/>
      <w:lang w:val="en-GB" w:eastAsia="zh-CN"/>
    </w:rPr>
  </w:style>
  <w:style w:type="paragraph" w:styleId="Heading1">
    <w:name w:val="heading 1"/>
    <w:basedOn w:val="Normal"/>
    <w:next w:val="Normal"/>
    <w:link w:val="Heading1Char"/>
    <w:uiPriority w:val="9"/>
    <w:qFormat/>
    <w:rsid w:val="00091AE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AE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AE5"/>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91AE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091AE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091AE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91AE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91AE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91AE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91AE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91AE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91AE5"/>
    <w:rPr>
      <w:rFonts w:eastAsiaTheme="majorEastAsia" w:cstheme="majorBidi"/>
      <w:color w:val="272727" w:themeColor="text1" w:themeTint="D8"/>
    </w:rPr>
  </w:style>
  <w:style w:type="paragraph" w:styleId="Title">
    <w:name w:val="Title"/>
    <w:basedOn w:val="Normal"/>
    <w:next w:val="Normal"/>
    <w:link w:val="TitleChar"/>
    <w:uiPriority w:val="10"/>
    <w:qFormat/>
    <w:rsid w:val="00091AE5"/>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91AE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91AE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91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AE5"/>
    <w:pPr>
      <w:spacing w:before="160"/>
      <w:jc w:val="center"/>
    </w:pPr>
    <w:rPr>
      <w:i/>
      <w:iCs/>
      <w:color w:val="404040" w:themeColor="text1" w:themeTint="BF"/>
    </w:rPr>
  </w:style>
  <w:style w:type="character" w:styleId="QuoteChar" w:customStyle="1">
    <w:name w:val="Quote Char"/>
    <w:basedOn w:val="DefaultParagraphFont"/>
    <w:link w:val="Quote"/>
    <w:uiPriority w:val="29"/>
    <w:rsid w:val="00091AE5"/>
    <w:rPr>
      <w:i/>
      <w:iCs/>
      <w:color w:val="404040" w:themeColor="text1" w:themeTint="BF"/>
    </w:rPr>
  </w:style>
  <w:style w:type="paragraph" w:styleId="ListParagraph">
    <w:name w:val="List Paragraph"/>
    <w:basedOn w:val="Normal"/>
    <w:uiPriority w:val="34"/>
    <w:qFormat/>
    <w:rsid w:val="00091AE5"/>
    <w:pPr>
      <w:ind w:left="720"/>
      <w:contextualSpacing/>
    </w:pPr>
  </w:style>
  <w:style w:type="character" w:styleId="IntenseEmphasis">
    <w:name w:val="Intense Emphasis"/>
    <w:basedOn w:val="DefaultParagraphFont"/>
    <w:uiPriority w:val="21"/>
    <w:qFormat/>
    <w:rsid w:val="00091AE5"/>
    <w:rPr>
      <w:i/>
      <w:iCs/>
      <w:color w:val="0F4761" w:themeColor="accent1" w:themeShade="BF"/>
    </w:rPr>
  </w:style>
  <w:style w:type="paragraph" w:styleId="IntenseQuote">
    <w:name w:val="Intense Quote"/>
    <w:basedOn w:val="Normal"/>
    <w:next w:val="Normal"/>
    <w:link w:val="IntenseQuoteChar"/>
    <w:uiPriority w:val="30"/>
    <w:qFormat/>
    <w:rsid w:val="00091AE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91AE5"/>
    <w:rPr>
      <w:i/>
      <w:iCs/>
      <w:color w:val="0F4761" w:themeColor="accent1" w:themeShade="BF"/>
    </w:rPr>
  </w:style>
  <w:style w:type="character" w:styleId="IntenseReference">
    <w:name w:val="Intense Reference"/>
    <w:basedOn w:val="DefaultParagraphFont"/>
    <w:uiPriority w:val="32"/>
    <w:qFormat/>
    <w:rsid w:val="00091AE5"/>
    <w:rPr>
      <w:b/>
      <w:bCs/>
      <w:smallCaps/>
      <w:color w:val="0F4761" w:themeColor="accent1" w:themeShade="BF"/>
      <w:spacing w:val="5"/>
    </w:rPr>
  </w:style>
  <w:style w:type="character" w:styleId="Hyperlink">
    <w:name w:val="Hyperlink"/>
    <w:basedOn w:val="DefaultParagraphFont"/>
    <w:uiPriority w:val="99"/>
    <w:unhideWhenUsed/>
    <w:rsid w:val="00091AE5"/>
    <w:rPr>
      <w:color w:val="467886" w:themeColor="hyperlink"/>
      <w:u w:val="single"/>
    </w:rPr>
  </w:style>
  <w:style w:type="character" w:styleId="UnresolvedMention">
    <w:name w:val="Unresolved Mention"/>
    <w:basedOn w:val="DefaultParagraphFont"/>
    <w:uiPriority w:val="99"/>
    <w:semiHidden/>
    <w:unhideWhenUsed/>
    <w:rsid w:val="00091AE5"/>
    <w:rPr>
      <w:color w:val="605E5C"/>
      <w:shd w:val="clear" w:color="auto" w:fill="E1DFDD"/>
    </w:rPr>
  </w:style>
  <w:style w:type="paragraph" w:styleId="Header">
    <w:name w:val="header"/>
    <w:basedOn w:val="Normal"/>
    <w:link w:val="HeaderChar"/>
    <w:uiPriority w:val="99"/>
    <w:unhideWhenUsed/>
    <w:rsid w:val="00667690"/>
    <w:pPr>
      <w:tabs>
        <w:tab w:val="center" w:pos="4680"/>
        <w:tab w:val="right" w:pos="9360"/>
      </w:tabs>
    </w:pPr>
  </w:style>
  <w:style w:type="character" w:styleId="HeaderChar" w:customStyle="1">
    <w:name w:val="Header Char"/>
    <w:basedOn w:val="DefaultParagraphFont"/>
    <w:link w:val="Header"/>
    <w:uiPriority w:val="99"/>
    <w:rsid w:val="00667690"/>
  </w:style>
  <w:style w:type="paragraph" w:styleId="Footer">
    <w:name w:val="footer"/>
    <w:basedOn w:val="Normal"/>
    <w:link w:val="FooterChar"/>
    <w:uiPriority w:val="99"/>
    <w:unhideWhenUsed/>
    <w:rsid w:val="00667690"/>
    <w:pPr>
      <w:tabs>
        <w:tab w:val="center" w:pos="4680"/>
        <w:tab w:val="right" w:pos="9360"/>
      </w:tabs>
    </w:pPr>
  </w:style>
  <w:style w:type="character" w:styleId="FooterChar" w:customStyle="1">
    <w:name w:val="Footer Char"/>
    <w:basedOn w:val="DefaultParagraphFont"/>
    <w:link w:val="Footer"/>
    <w:uiPriority w:val="99"/>
    <w:rsid w:val="00667690"/>
  </w:style>
  <w:style w:type="character" w:styleId="Strong">
    <w:name w:val="Strong"/>
    <w:basedOn w:val="DefaultParagraphFont"/>
    <w:uiPriority w:val="22"/>
    <w:qFormat/>
    <w:rsid w:val="00122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27533">
      <w:bodyDiv w:val="1"/>
      <w:marLeft w:val="0"/>
      <w:marRight w:val="0"/>
      <w:marTop w:val="0"/>
      <w:marBottom w:val="0"/>
      <w:divBdr>
        <w:top w:val="none" w:sz="0" w:space="0" w:color="auto"/>
        <w:left w:val="none" w:sz="0" w:space="0" w:color="auto"/>
        <w:bottom w:val="none" w:sz="0" w:space="0" w:color="auto"/>
        <w:right w:val="none" w:sz="0" w:space="0" w:color="auto"/>
      </w:divBdr>
      <w:divsChild>
        <w:div w:id="1610429834">
          <w:marLeft w:val="0"/>
          <w:marRight w:val="0"/>
          <w:marTop w:val="0"/>
          <w:marBottom w:val="0"/>
          <w:divBdr>
            <w:top w:val="none" w:sz="0" w:space="0" w:color="auto"/>
            <w:left w:val="none" w:sz="0" w:space="0" w:color="auto"/>
            <w:bottom w:val="none" w:sz="0" w:space="0" w:color="auto"/>
            <w:right w:val="none" w:sz="0" w:space="0" w:color="auto"/>
          </w:divBdr>
          <w:divsChild>
            <w:div w:id="2080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4098">
      <w:bodyDiv w:val="1"/>
      <w:marLeft w:val="0"/>
      <w:marRight w:val="0"/>
      <w:marTop w:val="0"/>
      <w:marBottom w:val="0"/>
      <w:divBdr>
        <w:top w:val="none" w:sz="0" w:space="0" w:color="auto"/>
        <w:left w:val="none" w:sz="0" w:space="0" w:color="auto"/>
        <w:bottom w:val="none" w:sz="0" w:space="0" w:color="auto"/>
        <w:right w:val="none" w:sz="0" w:space="0" w:color="auto"/>
      </w:divBdr>
    </w:div>
    <w:div w:id="138813983">
      <w:bodyDiv w:val="1"/>
      <w:marLeft w:val="0"/>
      <w:marRight w:val="0"/>
      <w:marTop w:val="0"/>
      <w:marBottom w:val="0"/>
      <w:divBdr>
        <w:top w:val="none" w:sz="0" w:space="0" w:color="auto"/>
        <w:left w:val="none" w:sz="0" w:space="0" w:color="auto"/>
        <w:bottom w:val="none" w:sz="0" w:space="0" w:color="auto"/>
        <w:right w:val="none" w:sz="0" w:space="0" w:color="auto"/>
      </w:divBdr>
    </w:div>
    <w:div w:id="273904109">
      <w:bodyDiv w:val="1"/>
      <w:marLeft w:val="0"/>
      <w:marRight w:val="0"/>
      <w:marTop w:val="0"/>
      <w:marBottom w:val="0"/>
      <w:divBdr>
        <w:top w:val="none" w:sz="0" w:space="0" w:color="auto"/>
        <w:left w:val="none" w:sz="0" w:space="0" w:color="auto"/>
        <w:bottom w:val="none" w:sz="0" w:space="0" w:color="auto"/>
        <w:right w:val="none" w:sz="0" w:space="0" w:color="auto"/>
      </w:divBdr>
    </w:div>
    <w:div w:id="855852613">
      <w:bodyDiv w:val="1"/>
      <w:marLeft w:val="0"/>
      <w:marRight w:val="0"/>
      <w:marTop w:val="0"/>
      <w:marBottom w:val="0"/>
      <w:divBdr>
        <w:top w:val="none" w:sz="0" w:space="0" w:color="auto"/>
        <w:left w:val="none" w:sz="0" w:space="0" w:color="auto"/>
        <w:bottom w:val="none" w:sz="0" w:space="0" w:color="auto"/>
        <w:right w:val="none" w:sz="0" w:space="0" w:color="auto"/>
      </w:divBdr>
    </w:div>
    <w:div w:id="1123421672">
      <w:bodyDiv w:val="1"/>
      <w:marLeft w:val="0"/>
      <w:marRight w:val="0"/>
      <w:marTop w:val="0"/>
      <w:marBottom w:val="0"/>
      <w:divBdr>
        <w:top w:val="none" w:sz="0" w:space="0" w:color="auto"/>
        <w:left w:val="none" w:sz="0" w:space="0" w:color="auto"/>
        <w:bottom w:val="none" w:sz="0" w:space="0" w:color="auto"/>
        <w:right w:val="none" w:sz="0" w:space="0" w:color="auto"/>
      </w:divBdr>
    </w:div>
    <w:div w:id="1163623986">
      <w:bodyDiv w:val="1"/>
      <w:marLeft w:val="0"/>
      <w:marRight w:val="0"/>
      <w:marTop w:val="0"/>
      <w:marBottom w:val="0"/>
      <w:divBdr>
        <w:top w:val="none" w:sz="0" w:space="0" w:color="auto"/>
        <w:left w:val="none" w:sz="0" w:space="0" w:color="auto"/>
        <w:bottom w:val="none" w:sz="0" w:space="0" w:color="auto"/>
        <w:right w:val="none" w:sz="0" w:space="0" w:color="auto"/>
      </w:divBdr>
      <w:divsChild>
        <w:div w:id="1723868511">
          <w:marLeft w:val="0"/>
          <w:marRight w:val="0"/>
          <w:marTop w:val="0"/>
          <w:marBottom w:val="0"/>
          <w:divBdr>
            <w:top w:val="none" w:sz="0" w:space="0" w:color="auto"/>
            <w:left w:val="none" w:sz="0" w:space="0" w:color="auto"/>
            <w:bottom w:val="none" w:sz="0" w:space="0" w:color="auto"/>
            <w:right w:val="none" w:sz="0" w:space="0" w:color="auto"/>
          </w:divBdr>
          <w:divsChild>
            <w:div w:id="1886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5939">
      <w:bodyDiv w:val="1"/>
      <w:marLeft w:val="0"/>
      <w:marRight w:val="0"/>
      <w:marTop w:val="0"/>
      <w:marBottom w:val="0"/>
      <w:divBdr>
        <w:top w:val="none" w:sz="0" w:space="0" w:color="auto"/>
        <w:left w:val="none" w:sz="0" w:space="0" w:color="auto"/>
        <w:bottom w:val="none" w:sz="0" w:space="0" w:color="auto"/>
        <w:right w:val="none" w:sz="0" w:space="0" w:color="auto"/>
      </w:divBdr>
    </w:div>
    <w:div w:id="1505629996">
      <w:bodyDiv w:val="1"/>
      <w:marLeft w:val="0"/>
      <w:marRight w:val="0"/>
      <w:marTop w:val="0"/>
      <w:marBottom w:val="0"/>
      <w:divBdr>
        <w:top w:val="none" w:sz="0" w:space="0" w:color="auto"/>
        <w:left w:val="none" w:sz="0" w:space="0" w:color="auto"/>
        <w:bottom w:val="none" w:sz="0" w:space="0" w:color="auto"/>
        <w:right w:val="none" w:sz="0" w:space="0" w:color="auto"/>
      </w:divBdr>
    </w:div>
    <w:div w:id="1812089273">
      <w:bodyDiv w:val="1"/>
      <w:marLeft w:val="0"/>
      <w:marRight w:val="0"/>
      <w:marTop w:val="0"/>
      <w:marBottom w:val="0"/>
      <w:divBdr>
        <w:top w:val="none" w:sz="0" w:space="0" w:color="auto"/>
        <w:left w:val="none" w:sz="0" w:space="0" w:color="auto"/>
        <w:bottom w:val="none" w:sz="0" w:space="0" w:color="auto"/>
        <w:right w:val="none" w:sz="0" w:space="0" w:color="auto"/>
      </w:divBdr>
    </w:div>
    <w:div w:id="20805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streamlit.io/" TargetMode="External" Id="rId8" /><Relationship Type="http://schemas.openxmlformats.org/officeDocument/2006/relationships/settings" Target="settings.xml" Id="rId3" /><Relationship Type="http://schemas.openxmlformats.org/officeDocument/2006/relationships/hyperlink" Target="https://docs.microsoft.com/en-us/power-bi/"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walmartcanada.ca/sustainability"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Sreesankaran Chackoth</dc:creator>
  <keywords/>
  <dc:description/>
  <lastModifiedBy>Yi Cao</lastModifiedBy>
  <revision>4</revision>
  <dcterms:created xsi:type="dcterms:W3CDTF">2025-04-08T00:55:00.0000000Z</dcterms:created>
  <dcterms:modified xsi:type="dcterms:W3CDTF">2025-04-08T00:56:45.7044691Z</dcterms:modified>
</coreProperties>
</file>