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2C64" w:rsidRPr="007B33A5" w:rsidRDefault="00000000">
      <w:pPr>
        <w:pStyle w:val="Heading1"/>
        <w:rPr>
          <w:rFonts w:ascii="Times New Roman" w:hAnsi="Times New Roman" w:cs="Times New Roman"/>
          <w:color w:val="auto"/>
        </w:rPr>
      </w:pPr>
      <w:bookmarkStart w:id="0" w:name="finflow-v3-final-results-brief"/>
      <w:r w:rsidRPr="007B33A5">
        <w:rPr>
          <w:rFonts w:ascii="Times New Roman" w:hAnsi="Times New Roman" w:cs="Times New Roman"/>
          <w:color w:val="auto"/>
        </w:rPr>
        <w:t>FinFlow</w:t>
      </w:r>
      <w:r w:rsidR="007B33A5">
        <w:rPr>
          <w:rFonts w:ascii="Times New Roman" w:hAnsi="Times New Roman" w:cs="Times New Roman"/>
          <w:color w:val="auto"/>
        </w:rPr>
        <w:t xml:space="preserve"> </w:t>
      </w:r>
      <w:r w:rsidRPr="007B33A5">
        <w:rPr>
          <w:rFonts w:ascii="Times New Roman" w:hAnsi="Times New Roman" w:cs="Times New Roman"/>
          <w:color w:val="auto"/>
        </w:rPr>
        <w:t>3</w:t>
      </w:r>
      <w:r w:rsidR="007B33A5">
        <w:rPr>
          <w:rFonts w:ascii="Times New Roman" w:hAnsi="Times New Roman" w:cs="Times New Roman"/>
          <w:color w:val="auto"/>
        </w:rPr>
        <w:t>.0</w:t>
      </w:r>
      <w:r w:rsidRPr="007B33A5">
        <w:rPr>
          <w:rFonts w:ascii="Times New Roman" w:hAnsi="Times New Roman" w:cs="Times New Roman"/>
          <w:color w:val="auto"/>
        </w:rPr>
        <w:t xml:space="preserve"> — Final Results Brief</w:t>
      </w:r>
      <w:bookmarkEnd w:id="0"/>
    </w:p>
    <w:p w:rsidR="00372C64" w:rsidRPr="007B33A5" w:rsidRDefault="00000000">
      <w:pPr>
        <w:pStyle w:val="FirstParagraph"/>
        <w:rPr>
          <w:rFonts w:ascii="Times New Roman" w:hAnsi="Times New Roman" w:cs="Times New Roman"/>
        </w:rPr>
      </w:pPr>
      <w:r w:rsidRPr="007B33A5">
        <w:rPr>
          <w:rFonts w:ascii="Times New Roman" w:hAnsi="Times New Roman" w:cs="Times New Roman"/>
        </w:rPr>
        <w:t>Universe: JPM, SPY, TSLA (NVDA excluded). Strategy: long+short, confidence-weighted, NLP risk gate, with a four-member meta-ensemble on top.</w:t>
      </w:r>
    </w:p>
    <w:p w:rsidR="00372C64" w:rsidRPr="007B33A5" w:rsidRDefault="00000000">
      <w:pPr>
        <w:pStyle w:val="Heading2"/>
        <w:rPr>
          <w:rFonts w:ascii="Times New Roman" w:hAnsi="Times New Roman" w:cs="Times New Roman"/>
          <w:color w:val="auto"/>
        </w:rPr>
      </w:pPr>
      <w:bookmarkStart w:id="1" w:name="X3ef56f7956d8ddab5dbeacf6f6963cef6a4c866"/>
      <w:r w:rsidRPr="007B33A5">
        <w:rPr>
          <w:rFonts w:ascii="Times New Roman" w:hAnsi="Times New Roman" w:cs="Times New Roman"/>
          <w:color w:val="auto"/>
        </w:rPr>
        <w:t>Headline ranking (Protocol B, 2025 test window)</w:t>
      </w:r>
      <w:bookmarkEnd w:id="1"/>
    </w:p>
    <w:tbl>
      <w:tblPr>
        <w:tblStyle w:val="Table"/>
        <w:tblW w:w="0" w:type="pct"/>
        <w:tblLook w:val="07E0" w:firstRow="1" w:lastRow="1" w:firstColumn="1" w:lastColumn="1" w:noHBand="1" w:noVBand="1"/>
      </w:tblPr>
      <w:tblGrid>
        <w:gridCol w:w="456"/>
        <w:gridCol w:w="5114"/>
        <w:gridCol w:w="1144"/>
        <w:gridCol w:w="883"/>
        <w:gridCol w:w="1110"/>
        <w:gridCol w:w="869"/>
      </w:tblGrid>
      <w:tr w:rsidR="007B33A5" w:rsidRPr="007B33A5">
        <w:tc>
          <w:tcPr>
            <w:tcW w:w="0" w:type="auto"/>
            <w:tcBorders>
              <w:bottom w:val="single" w:sz="0" w:space="0" w:color="auto"/>
            </w:tcBorders>
            <w:vAlign w:val="bottom"/>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w:t>
            </w:r>
          </w:p>
        </w:tc>
        <w:tc>
          <w:tcPr>
            <w:tcW w:w="0" w:type="auto"/>
            <w:tcBorders>
              <w:bottom w:val="single" w:sz="0" w:space="0" w:color="auto"/>
            </w:tcBorders>
            <w:vAlign w:val="bottom"/>
          </w:tcPr>
          <w:p w:rsidR="00372C64" w:rsidRPr="007B33A5" w:rsidRDefault="00000000">
            <w:pPr>
              <w:pStyle w:val="Compact"/>
              <w:rPr>
                <w:rFonts w:ascii="Times New Roman" w:hAnsi="Times New Roman" w:cs="Times New Roman"/>
              </w:rPr>
            </w:pPr>
            <w:r w:rsidRPr="007B33A5">
              <w:rPr>
                <w:rFonts w:ascii="Times New Roman" w:hAnsi="Times New Roman" w:cs="Times New Roman"/>
              </w:rPr>
              <w:t>Strategy</w:t>
            </w:r>
          </w:p>
        </w:tc>
        <w:tc>
          <w:tcPr>
            <w:tcW w:w="0" w:type="auto"/>
            <w:tcBorders>
              <w:bottom w:val="single" w:sz="0" w:space="0" w:color="auto"/>
            </w:tcBorders>
            <w:vAlign w:val="bottom"/>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Return</w:t>
            </w:r>
          </w:p>
        </w:tc>
        <w:tc>
          <w:tcPr>
            <w:tcW w:w="0" w:type="auto"/>
            <w:tcBorders>
              <w:bottom w:val="single" w:sz="0" w:space="0" w:color="auto"/>
            </w:tcBorders>
            <w:vAlign w:val="bottom"/>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Sharpe</w:t>
            </w:r>
          </w:p>
        </w:tc>
        <w:tc>
          <w:tcPr>
            <w:tcW w:w="0" w:type="auto"/>
            <w:tcBorders>
              <w:bottom w:val="single" w:sz="0" w:space="0" w:color="auto"/>
            </w:tcBorders>
            <w:vAlign w:val="bottom"/>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Max DD</w:t>
            </w:r>
          </w:p>
        </w:tc>
        <w:tc>
          <w:tcPr>
            <w:tcW w:w="0" w:type="auto"/>
            <w:tcBorders>
              <w:bottom w:val="single" w:sz="0" w:space="0" w:color="auto"/>
            </w:tcBorders>
            <w:vAlign w:val="bottom"/>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Trades</w:t>
            </w:r>
          </w:p>
        </w:tc>
      </w:tr>
      <w:tr w:rsidR="007B33A5" w:rsidRPr="007B33A5">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b/>
              </w:rPr>
              <w:t>1</w:t>
            </w:r>
          </w:p>
        </w:tc>
        <w:tc>
          <w:tcPr>
            <w:tcW w:w="0" w:type="auto"/>
          </w:tcPr>
          <w:p w:rsidR="00372C64" w:rsidRPr="007B33A5" w:rsidRDefault="00000000">
            <w:pPr>
              <w:pStyle w:val="Compact"/>
              <w:rPr>
                <w:rFonts w:ascii="Times New Roman" w:hAnsi="Times New Roman" w:cs="Times New Roman"/>
              </w:rPr>
            </w:pPr>
            <w:r w:rsidRPr="007B33A5">
              <w:rPr>
                <w:rFonts w:ascii="Times New Roman" w:hAnsi="Times New Roman" w:cs="Times New Roman"/>
                <w:b/>
              </w:rPr>
              <w:t>G4 Majority Ensemble (M1+M2+M3+M4)</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b/>
              </w:rPr>
              <w:t>+30.76 %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b/>
              </w:rPr>
              <w:t>1.71</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b/>
              </w:rPr>
              <w:t>−7.37 %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156</w:t>
            </w:r>
          </w:p>
        </w:tc>
      </w:tr>
      <w:tr w:rsidR="007B33A5" w:rsidRPr="007B33A5">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2</w:t>
            </w:r>
          </w:p>
        </w:tc>
        <w:tc>
          <w:tcPr>
            <w:tcW w:w="0" w:type="auto"/>
          </w:tcPr>
          <w:p w:rsidR="00372C64" w:rsidRPr="007B33A5" w:rsidRDefault="00000000">
            <w:pPr>
              <w:pStyle w:val="Compact"/>
              <w:rPr>
                <w:rFonts w:ascii="Times New Roman" w:hAnsi="Times New Roman" w:cs="Times New Roman"/>
              </w:rPr>
            </w:pPr>
            <w:r w:rsidRPr="007B33A5">
              <w:rPr>
                <w:rFonts w:ascii="Times New Roman" w:hAnsi="Times New Roman" w:cs="Times New Roman"/>
              </w:rPr>
              <w:t>Transformer + Late Fusion + NLP gate (M1)</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+69.22 %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1.66</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−22.21 %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953</w:t>
            </w:r>
          </w:p>
        </w:tc>
      </w:tr>
      <w:tr w:rsidR="007B33A5" w:rsidRPr="007B33A5">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3</w:t>
            </w:r>
          </w:p>
        </w:tc>
        <w:tc>
          <w:tcPr>
            <w:tcW w:w="0" w:type="auto"/>
          </w:tcPr>
          <w:p w:rsidR="00372C64" w:rsidRPr="007B33A5" w:rsidRDefault="00000000">
            <w:pPr>
              <w:pStyle w:val="Compact"/>
              <w:rPr>
                <w:rFonts w:ascii="Times New Roman" w:hAnsi="Times New Roman" w:cs="Times New Roman"/>
              </w:rPr>
            </w:pPr>
            <w:r w:rsidRPr="007B33A5">
              <w:rPr>
                <w:rFonts w:ascii="Times New Roman" w:hAnsi="Times New Roman" w:cs="Times New Roman"/>
              </w:rPr>
              <w:t>G3 Majority Ensemble (M1+M2+M3)</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+43.83 %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1.51</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−14.65 %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462</w:t>
            </w:r>
          </w:p>
        </w:tc>
      </w:tr>
      <w:tr w:rsidR="007B33A5" w:rsidRPr="007B33A5">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4</w:t>
            </w:r>
          </w:p>
        </w:tc>
        <w:tc>
          <w:tcPr>
            <w:tcW w:w="0" w:type="auto"/>
          </w:tcPr>
          <w:p w:rsidR="00372C64" w:rsidRPr="007B33A5" w:rsidRDefault="00000000">
            <w:pPr>
              <w:pStyle w:val="Compact"/>
              <w:rPr>
                <w:rFonts w:ascii="Times New Roman" w:hAnsi="Times New Roman" w:cs="Times New Roman"/>
              </w:rPr>
            </w:pPr>
            <w:r w:rsidRPr="007B33A5">
              <w:rPr>
                <w:rFonts w:ascii="Times New Roman" w:hAnsi="Times New Roman" w:cs="Times New Roman"/>
              </w:rPr>
              <w:t>G2 Majority Ensemble (M1+M2)</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+35.39 %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1.42</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−13.88 %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374</w:t>
            </w:r>
          </w:p>
        </w:tc>
      </w:tr>
      <w:tr w:rsidR="007B33A5" w:rsidRPr="007B33A5">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5</w:t>
            </w:r>
          </w:p>
        </w:tc>
        <w:tc>
          <w:tcPr>
            <w:tcW w:w="0" w:type="auto"/>
          </w:tcPr>
          <w:p w:rsidR="00372C64" w:rsidRPr="007B33A5" w:rsidRDefault="00000000">
            <w:pPr>
              <w:pStyle w:val="Compact"/>
              <w:rPr>
                <w:rFonts w:ascii="Times New Roman" w:hAnsi="Times New Roman" w:cs="Times New Roman"/>
              </w:rPr>
            </w:pPr>
            <w:r w:rsidRPr="007B33A5">
              <w:rPr>
                <w:rFonts w:ascii="Times New Roman" w:hAnsi="Times New Roman" w:cs="Times New Roman"/>
              </w:rPr>
              <w:t>G3 Sharpe-weighted Ensemble</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+67.75 %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1.38</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−25.63 %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1,473</w:t>
            </w:r>
          </w:p>
        </w:tc>
      </w:tr>
      <w:tr w:rsidR="007B33A5" w:rsidRPr="007B33A5">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6</w:t>
            </w:r>
          </w:p>
        </w:tc>
        <w:tc>
          <w:tcPr>
            <w:tcW w:w="0" w:type="auto"/>
          </w:tcPr>
          <w:p w:rsidR="00372C64" w:rsidRPr="007B33A5" w:rsidRDefault="00000000">
            <w:pPr>
              <w:pStyle w:val="Compact"/>
              <w:rPr>
                <w:rFonts w:ascii="Times New Roman" w:hAnsi="Times New Roman" w:cs="Times New Roman"/>
              </w:rPr>
            </w:pPr>
            <w:r w:rsidRPr="007B33A5">
              <w:rPr>
                <w:rFonts w:ascii="Times New Roman" w:hAnsi="Times New Roman" w:cs="Times New Roman"/>
              </w:rPr>
              <w:t>CrossModalTransformer × Transformer agreement (R6)</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+20.58 %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0.81</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453</w:t>
            </w:r>
          </w:p>
        </w:tc>
      </w:tr>
      <w:tr w:rsidR="007B33A5" w:rsidRPr="007B33A5">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w:t>
            </w:r>
          </w:p>
        </w:tc>
        <w:tc>
          <w:tcPr>
            <w:tcW w:w="0" w:type="auto"/>
          </w:tcPr>
          <w:p w:rsidR="00372C64" w:rsidRPr="007B33A5" w:rsidRDefault="00000000">
            <w:pPr>
              <w:pStyle w:val="Compact"/>
              <w:rPr>
                <w:rFonts w:ascii="Times New Roman" w:hAnsi="Times New Roman" w:cs="Times New Roman"/>
              </w:rPr>
            </w:pPr>
            <w:r w:rsidRPr="007B33A5">
              <w:rPr>
                <w:rFonts w:ascii="Times New Roman" w:hAnsi="Times New Roman" w:cs="Times New Roman"/>
              </w:rPr>
              <w:t>Buy &amp; Hold (ex-NVDA, benchmark)</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+24.57 %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0.80</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−31.13 %</w:t>
            </w:r>
          </w:p>
        </w:tc>
        <w:tc>
          <w:tcPr>
            <w:tcW w:w="0" w:type="auto"/>
          </w:tcPr>
          <w:p w:rsidR="00372C64" w:rsidRPr="007B33A5" w:rsidRDefault="00000000">
            <w:pPr>
              <w:pStyle w:val="Compact"/>
              <w:jc w:val="right"/>
              <w:rPr>
                <w:rFonts w:ascii="Times New Roman" w:hAnsi="Times New Roman" w:cs="Times New Roman"/>
              </w:rPr>
            </w:pPr>
            <w:r w:rsidRPr="007B33A5">
              <w:rPr>
                <w:rFonts w:ascii="Times New Roman" w:hAnsi="Times New Roman" w:cs="Times New Roman"/>
              </w:rPr>
              <w:t>1</w:t>
            </w:r>
          </w:p>
        </w:tc>
      </w:tr>
    </w:tbl>
    <w:p w:rsidR="00372C64" w:rsidRPr="007B33A5" w:rsidRDefault="00000000">
      <w:pPr>
        <w:pStyle w:val="BodyText"/>
        <w:rPr>
          <w:rFonts w:ascii="Times New Roman" w:hAnsi="Times New Roman" w:cs="Times New Roman"/>
        </w:rPr>
      </w:pPr>
      <w:r w:rsidRPr="007B33A5">
        <w:rPr>
          <w:rFonts w:ascii="Times New Roman" w:hAnsi="Times New Roman" w:cs="Times New Roman"/>
        </w:rPr>
        <w:t>The G4 Majority Ensemble — a per-bar majority vote across the four post-fix members — is the project’s best risk-adjusted result.</w:t>
      </w:r>
    </w:p>
    <w:p w:rsidR="00372C64" w:rsidRPr="007B33A5" w:rsidRDefault="00000000">
      <w:pPr>
        <w:pStyle w:val="CaptionedFigure"/>
        <w:rPr>
          <w:rFonts w:ascii="Times New Roman" w:hAnsi="Times New Roman" w:cs="Times New Roman"/>
        </w:rPr>
      </w:pPr>
      <w:r w:rsidRPr="007B33A5">
        <w:rPr>
          <w:rFonts w:ascii="Times New Roman" w:hAnsi="Times New Roman" w:cs="Times New Roman"/>
          <w:noProof/>
        </w:rPr>
        <w:drawing>
          <wp:inline distT="0" distB="0" distL="0" distR="0">
            <wp:extent cx="5334000" cy="2667000"/>
            <wp:effectExtent l="0" t="0" r="0" b="0"/>
            <wp:docPr id="1" name="Picture" descr="Equity curves of meta-ensemble vs members vs benchmark."/>
            <wp:cNvGraphicFramePr/>
            <a:graphic xmlns:a="http://schemas.openxmlformats.org/drawingml/2006/main">
              <a:graphicData uri="http://schemas.openxmlformats.org/drawingml/2006/picture">
                <pic:pic xmlns:pic="http://schemas.openxmlformats.org/drawingml/2006/picture">
                  <pic:nvPicPr>
                    <pic:cNvPr id="0" name="Picture" descr="charts/v3_ensemble_equity.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rsidR="00372C64" w:rsidRPr="007B33A5" w:rsidRDefault="00000000">
      <w:pPr>
        <w:pStyle w:val="ImageCaption"/>
        <w:rPr>
          <w:rFonts w:ascii="Times New Roman" w:hAnsi="Times New Roman" w:cs="Times New Roman"/>
        </w:rPr>
      </w:pPr>
      <w:r w:rsidRPr="007B33A5">
        <w:rPr>
          <w:rFonts w:ascii="Times New Roman" w:hAnsi="Times New Roman" w:cs="Times New Roman"/>
        </w:rPr>
        <w:t>Equity curves of meta-ensemble vs members vs benchmark.</w:t>
      </w:r>
    </w:p>
    <w:p w:rsidR="00372C64" w:rsidRPr="007B33A5" w:rsidRDefault="00000000">
      <w:pPr>
        <w:pStyle w:val="Heading2"/>
        <w:rPr>
          <w:rFonts w:ascii="Times New Roman" w:hAnsi="Times New Roman" w:cs="Times New Roman"/>
          <w:color w:val="auto"/>
        </w:rPr>
      </w:pPr>
      <w:bookmarkStart w:id="2" w:name="members-after-the-protocol-b-repairs"/>
      <w:r w:rsidRPr="007B33A5">
        <w:rPr>
          <w:rFonts w:ascii="Times New Roman" w:hAnsi="Times New Roman" w:cs="Times New Roman"/>
          <w:color w:val="auto"/>
        </w:rPr>
        <w:lastRenderedPageBreak/>
        <w:t>Members (after the Protocol-B repairs)</w:t>
      </w:r>
      <w:bookmarkEnd w:id="2"/>
    </w:p>
    <w:p w:rsidR="00372C64" w:rsidRPr="007B33A5" w:rsidRDefault="00000000">
      <w:pPr>
        <w:pStyle w:val="Compact"/>
        <w:numPr>
          <w:ilvl w:val="0"/>
          <w:numId w:val="2"/>
        </w:numPr>
        <w:rPr>
          <w:rFonts w:ascii="Times New Roman" w:hAnsi="Times New Roman" w:cs="Times New Roman"/>
        </w:rPr>
      </w:pPr>
      <w:r w:rsidRPr="007B33A5">
        <w:rPr>
          <w:rFonts w:ascii="Times New Roman" w:hAnsi="Times New Roman" w:cs="Times New Roman"/>
          <w:b/>
        </w:rPr>
        <w:t>M1</w:t>
      </w:r>
      <w:r w:rsidRPr="007B33A5">
        <w:rPr>
          <w:rFonts w:ascii="Times New Roman" w:hAnsi="Times New Roman" w:cs="Times New Roman"/>
        </w:rPr>
        <w:t xml:space="preserve"> — Transformer + Late Fusion + NLP gate (strict thresholds).</w:t>
      </w:r>
    </w:p>
    <w:p w:rsidR="00372C64" w:rsidRPr="007B33A5" w:rsidRDefault="00000000">
      <w:pPr>
        <w:pStyle w:val="Compact"/>
        <w:numPr>
          <w:ilvl w:val="0"/>
          <w:numId w:val="2"/>
        </w:numPr>
        <w:rPr>
          <w:rFonts w:ascii="Times New Roman" w:hAnsi="Times New Roman" w:cs="Times New Roman"/>
        </w:rPr>
      </w:pPr>
      <w:r w:rsidRPr="007B33A5">
        <w:rPr>
          <w:rFonts w:ascii="Times New Roman" w:hAnsi="Times New Roman" w:cs="Times New Roman"/>
          <w:b/>
        </w:rPr>
        <w:t>M2</w:t>
      </w:r>
      <w:r w:rsidRPr="007B33A5">
        <w:rPr>
          <w:rFonts w:ascii="Times New Roman" w:hAnsi="Times New Roman" w:cs="Times New Roman"/>
        </w:rPr>
        <w:t xml:space="preserve"> — LSTM + V4 conf-conditional gate (gate fires only when confidence &gt; 0.55).</w:t>
      </w:r>
    </w:p>
    <w:p w:rsidR="00372C64" w:rsidRPr="007B33A5" w:rsidRDefault="00000000">
      <w:pPr>
        <w:pStyle w:val="Compact"/>
        <w:numPr>
          <w:ilvl w:val="0"/>
          <w:numId w:val="2"/>
        </w:numPr>
        <w:rPr>
          <w:rFonts w:ascii="Times New Roman" w:hAnsi="Times New Roman" w:cs="Times New Roman"/>
        </w:rPr>
      </w:pPr>
      <w:r w:rsidRPr="007B33A5">
        <w:rPr>
          <w:rFonts w:ascii="Times New Roman" w:hAnsi="Times New Roman" w:cs="Times New Roman"/>
          <w:b/>
        </w:rPr>
        <w:t>M3</w:t>
      </w:r>
      <w:r w:rsidRPr="007B33A5">
        <w:rPr>
          <w:rFonts w:ascii="Times New Roman" w:hAnsi="Times New Roman" w:cs="Times New Roman"/>
        </w:rPr>
        <w:t xml:space="preserve"> — CrossModalTransformer × R6 Transformer-agreement.</w:t>
      </w:r>
    </w:p>
    <w:p w:rsidR="00372C64" w:rsidRPr="007B33A5" w:rsidRDefault="00000000">
      <w:pPr>
        <w:pStyle w:val="Compact"/>
        <w:numPr>
          <w:ilvl w:val="0"/>
          <w:numId w:val="2"/>
        </w:numPr>
        <w:rPr>
          <w:rFonts w:ascii="Times New Roman" w:hAnsi="Times New Roman" w:cs="Times New Roman"/>
        </w:rPr>
      </w:pPr>
      <w:r w:rsidRPr="007B33A5">
        <w:rPr>
          <w:rFonts w:ascii="Times New Roman" w:hAnsi="Times New Roman" w:cs="Times New Roman"/>
          <w:b/>
        </w:rPr>
        <w:t>M4</w:t>
      </w:r>
      <w:r w:rsidRPr="007B33A5">
        <w:rPr>
          <w:rFonts w:ascii="Times New Roman" w:hAnsi="Times New Roman" w:cs="Times New Roman"/>
        </w:rPr>
        <w:t xml:space="preserve"> — SentimentLSTM × R6 Transformer-agreement.</w:t>
      </w:r>
    </w:p>
    <w:p w:rsidR="00372C64" w:rsidRPr="007B33A5" w:rsidRDefault="00000000">
      <w:pPr>
        <w:pStyle w:val="Heading2"/>
        <w:rPr>
          <w:rFonts w:ascii="Times New Roman" w:hAnsi="Times New Roman" w:cs="Times New Roman"/>
          <w:color w:val="auto"/>
        </w:rPr>
      </w:pPr>
      <w:bookmarkStart w:id="3" w:name="three-findings"/>
      <w:r w:rsidRPr="007B33A5">
        <w:rPr>
          <w:rFonts w:ascii="Times New Roman" w:hAnsi="Times New Roman" w:cs="Times New Roman"/>
          <w:color w:val="auto"/>
        </w:rPr>
        <w:t>Three findings</w:t>
      </w:r>
      <w:bookmarkEnd w:id="3"/>
    </w:p>
    <w:p w:rsidR="00372C64" w:rsidRPr="007B33A5" w:rsidRDefault="00000000">
      <w:pPr>
        <w:pStyle w:val="FirstParagraph"/>
        <w:rPr>
          <w:rFonts w:ascii="Times New Roman" w:hAnsi="Times New Roman" w:cs="Times New Roman"/>
        </w:rPr>
      </w:pPr>
      <w:r w:rsidRPr="007B33A5">
        <w:rPr>
          <w:rFonts w:ascii="Times New Roman" w:hAnsi="Times New Roman" w:cs="Times New Roman"/>
          <w:b/>
        </w:rPr>
        <w:t>NLP-as-risk-manager.</w:t>
      </w:r>
      <w:r w:rsidRPr="007B33A5">
        <w:rPr>
          <w:rFonts w:ascii="Times New Roman" w:hAnsi="Times New Roman" w:cs="Times New Roman"/>
        </w:rPr>
        <w:t xml:space="preserve"> The NLP gate adds +46.59 pp of return and +0.99 Sharpe to the Transformer baseline, while removing 370 of the worst trades. Mechanism: blocks shorting against good news and longing into bad news.</w:t>
      </w:r>
    </w:p>
    <w:p w:rsidR="00372C64" w:rsidRPr="007B33A5" w:rsidRDefault="00000000">
      <w:pPr>
        <w:pStyle w:val="BodyText"/>
        <w:rPr>
          <w:rFonts w:ascii="Times New Roman" w:hAnsi="Times New Roman" w:cs="Times New Roman"/>
        </w:rPr>
      </w:pPr>
      <w:r w:rsidRPr="007B33A5">
        <w:rPr>
          <w:rFonts w:ascii="Times New Roman" w:hAnsi="Times New Roman" w:cs="Times New Roman"/>
          <w:b/>
        </w:rPr>
        <w:t>Per-model gate calibration is required.</w:t>
      </w:r>
      <w:r w:rsidRPr="007B33A5">
        <w:rPr>
          <w:rFonts w:ascii="Times New Roman" w:hAnsi="Times New Roman" w:cs="Times New Roman"/>
        </w:rPr>
        <w:t xml:space="preserve"> A reliability audit shows the LSTM and Transformer have similar ECE (≈ 0.10) but very different vetoed-trade P&amp;L distributions: the gate’s risk-protection benefit on LSTM is ≈ 1/3 of that on Transformer because the LSTM’s contrarian-sentiment signals are near coin-flip rather than systematically wrong. The conf-conditional gate (V4) recovers +12.4 pp of return for the LSTM by gating only at high confidence.</w:t>
      </w:r>
    </w:p>
    <w:p w:rsidR="00372C64" w:rsidRPr="007B33A5" w:rsidRDefault="00000000">
      <w:pPr>
        <w:pStyle w:val="BodyText"/>
        <w:rPr>
          <w:rFonts w:ascii="Times New Roman" w:hAnsi="Times New Roman" w:cs="Times New Roman"/>
        </w:rPr>
      </w:pPr>
      <w:r w:rsidRPr="007B33A5">
        <w:rPr>
          <w:rFonts w:ascii="Times New Roman" w:hAnsi="Times New Roman" w:cs="Times New Roman"/>
          <w:b/>
        </w:rPr>
        <w:t>Deep fusion as ensemble member, not standalone.</w:t>
      </w:r>
      <w:r w:rsidRPr="007B33A5">
        <w:rPr>
          <w:rFonts w:ascii="Times New Roman" w:hAnsi="Times New Roman" w:cs="Times New Roman"/>
        </w:rPr>
        <w:t xml:space="preserve"> CrossModal and SentimentLSTM both fail individually (CrossModal accuracy 0.366, SentimentLSTM 0.353) — neither calibration tweaks nor stricter floors help. The only no-retrain repair that works is Transformer-agreement: act on the deep model’s signal only when it agrees with the Transformer. Both architectures move from −15 % to +13–20 % return with this single change.</w:t>
      </w:r>
    </w:p>
    <w:p w:rsidR="00372C64" w:rsidRPr="007B33A5" w:rsidRDefault="00000000" w:rsidP="007B33A5">
      <w:pPr>
        <w:pStyle w:val="CaptionedFigure"/>
        <w:jc w:val="center"/>
        <w:rPr>
          <w:rFonts w:ascii="Times New Roman" w:hAnsi="Times New Roman" w:cs="Times New Roman"/>
        </w:rPr>
      </w:pPr>
      <w:r w:rsidRPr="007B33A5">
        <w:rPr>
          <w:rFonts w:ascii="Times New Roman" w:hAnsi="Times New Roman" w:cs="Times New Roman"/>
          <w:noProof/>
        </w:rPr>
        <w:drawing>
          <wp:inline distT="0" distB="0" distL="0" distR="0">
            <wp:extent cx="5334000" cy="1676400"/>
            <wp:effectExtent l="0" t="0" r="0" b="0"/>
            <wp:docPr id="320817819" name="Picture" descr="Raw model vs NLP-gated for return, drawdown, and Sharpe."/>
            <wp:cNvGraphicFramePr/>
            <a:graphic xmlns:a="http://schemas.openxmlformats.org/drawingml/2006/main">
              <a:graphicData uri="http://schemas.openxmlformats.org/drawingml/2006/picture">
                <pic:pic xmlns:pic="http://schemas.openxmlformats.org/drawingml/2006/picture">
                  <pic:nvPicPr>
                    <pic:cNvPr id="0" name="Picture" descr="charts/v3_nlp_risk_manager.png"/>
                    <pic:cNvPicPr>
                      <a:picLocks noChangeAspect="1" noChangeArrowheads="1"/>
                    </pic:cNvPicPr>
                  </pic:nvPicPr>
                  <pic:blipFill>
                    <a:blip r:embed="rId8"/>
                    <a:stretch>
                      <a:fillRect/>
                    </a:stretch>
                  </pic:blipFill>
                  <pic:spPr bwMode="auto">
                    <a:xfrm>
                      <a:off x="0" y="0"/>
                      <a:ext cx="5334000" cy="1676400"/>
                    </a:xfrm>
                    <a:prstGeom prst="rect">
                      <a:avLst/>
                    </a:prstGeom>
                    <a:noFill/>
                    <a:ln w="9525">
                      <a:noFill/>
                      <a:headEnd/>
                      <a:tailEnd/>
                    </a:ln>
                  </pic:spPr>
                </pic:pic>
              </a:graphicData>
            </a:graphic>
          </wp:inline>
        </w:drawing>
      </w:r>
    </w:p>
    <w:p w:rsidR="00372C64" w:rsidRPr="007B33A5" w:rsidRDefault="00000000">
      <w:pPr>
        <w:pStyle w:val="ImageCaption"/>
        <w:rPr>
          <w:rFonts w:ascii="Times New Roman" w:hAnsi="Times New Roman" w:cs="Times New Roman"/>
        </w:rPr>
      </w:pPr>
      <w:r w:rsidRPr="007B33A5">
        <w:rPr>
          <w:rFonts w:ascii="Times New Roman" w:hAnsi="Times New Roman" w:cs="Times New Roman"/>
        </w:rPr>
        <w:t>Raw model vs NLP-gated for return, drawdown, and Sharpe.</w:t>
      </w:r>
    </w:p>
    <w:p w:rsidR="00372C64" w:rsidRPr="007B33A5" w:rsidRDefault="00000000">
      <w:pPr>
        <w:pStyle w:val="Heading2"/>
        <w:rPr>
          <w:rFonts w:ascii="Times New Roman" w:hAnsi="Times New Roman" w:cs="Times New Roman"/>
          <w:color w:val="auto"/>
        </w:rPr>
      </w:pPr>
      <w:bookmarkStart w:id="4" w:name="how-the-ensemble-achieves-sharpe-1.71"/>
      <w:r w:rsidRPr="007B33A5">
        <w:rPr>
          <w:rFonts w:ascii="Times New Roman" w:hAnsi="Times New Roman" w:cs="Times New Roman"/>
          <w:color w:val="auto"/>
        </w:rPr>
        <w:t>How the ensemble achieves Sharpe 1.71</w:t>
      </w:r>
      <w:bookmarkEnd w:id="4"/>
    </w:p>
    <w:p w:rsidR="007B33A5" w:rsidRPr="007B33A5" w:rsidRDefault="00000000" w:rsidP="007B33A5">
      <w:pPr>
        <w:pStyle w:val="FirstParagraph"/>
        <w:rPr>
          <w:rFonts w:ascii="Times New Roman" w:hAnsi="Times New Roman" w:cs="Times New Roman"/>
        </w:rPr>
      </w:pPr>
      <w:r w:rsidRPr="007B33A5">
        <w:rPr>
          <w:rFonts w:ascii="Times New Roman" w:hAnsi="Times New Roman" w:cs="Times New Roman"/>
        </w:rPr>
        <w:t xml:space="preserve">Naive equal- and Sharpe-weighted averaging across the four members produces Sharpe ~0.94–1.08 — diluting the strong M1. The </w:t>
      </w:r>
      <w:r w:rsidRPr="007B33A5">
        <w:rPr>
          <w:rFonts w:ascii="Times New Roman" w:hAnsi="Times New Roman" w:cs="Times New Roman"/>
          <w:b/>
        </w:rPr>
        <w:t>majority veto</w:t>
      </w:r>
      <w:r w:rsidRPr="007B33A5">
        <w:rPr>
          <w:rFonts w:ascii="Times New Roman" w:hAnsi="Times New Roman" w:cs="Times New Roman"/>
        </w:rPr>
        <w:t xml:space="preserve"> (act only when ≥3 of 4 members agree on direction) is the active ingredient. It produces a fundamentally different trade pattern: 156 trades vs the members’ 453–953, because most bars fail the agreement threshold and stay flat. Removing M4 (G3 instead of G4) costs 0.20 Sharpe even though M4’s standalone Sharpe is only 0.64 — the diversity matters more than the individual quality.</w:t>
      </w:r>
    </w:p>
    <w:sectPr w:rsidR="007B33A5" w:rsidRPr="007B33A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66A9" w:rsidRDefault="008C66A9">
      <w:pPr>
        <w:spacing w:after="0"/>
      </w:pPr>
      <w:r>
        <w:separator/>
      </w:r>
    </w:p>
  </w:endnote>
  <w:endnote w:type="continuationSeparator" w:id="0">
    <w:p w:rsidR="008C66A9" w:rsidRDefault="008C66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66A9" w:rsidRDefault="008C66A9">
      <w:r>
        <w:separator/>
      </w:r>
    </w:p>
  </w:footnote>
  <w:footnote w:type="continuationSeparator" w:id="0">
    <w:p w:rsidR="008C66A9" w:rsidRDefault="008C6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6B2B8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5C427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71358513">
    <w:abstractNumId w:val="1"/>
  </w:num>
  <w:num w:numId="2" w16cid:durableId="1245798774">
    <w:abstractNumId w:val="0"/>
  </w:num>
  <w:num w:numId="3" w16cid:durableId="67314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72C64"/>
    <w:rsid w:val="004E29B3"/>
    <w:rsid w:val="00590D07"/>
    <w:rsid w:val="00784D58"/>
    <w:rsid w:val="007B33A5"/>
    <w:rsid w:val="008C66A9"/>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40069E1"/>
  <w15:docId w15:val="{DE68A590-661D-4D4A-9D53-5247B80A6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2</cp:revision>
  <dcterms:created xsi:type="dcterms:W3CDTF">2026-05-08T05:06:00Z</dcterms:created>
  <dcterms:modified xsi:type="dcterms:W3CDTF">2026-06-02T08:05:00Z</dcterms:modified>
</cp:coreProperties>
</file>