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High Level Design (HLD)</w:t>
      </w:r>
    </w:p>
    <w:p>
      <w:pPr>
        <w:pStyle w:val="Heading2"/>
        <w:jc w:val="center"/>
      </w:pPr>
      <w:r>
        <w:t>Chapter 1 – Executive Summary</w:t>
      </w:r>
    </w:p>
    <w:p>
      <w:r>
        <w:t>Project: Private Mutual Connection Platform</w:t>
        <w:br/>
        <w:t>Version: 1.0</w:t>
        <w:br/>
        <w:t>Status: Draft</w:t>
        <w:br/>
        <w:t>Audience: Engineering, Product, QA, DevOps, Architecture</w:t>
      </w:r>
    </w:p>
    <w:p>
      <w:pPr>
        <w:pStyle w:val="Heading2"/>
      </w:pPr>
      <w:r>
        <w:t>1. Purpose</w:t>
      </w:r>
    </w:p>
    <w:p>
      <w:r>
        <w:t>This chapter establishes the architectural vision, scope and engineering direction for the Private Mutual Connection Platform. It acts as the foundation for every subsequent HLD chapter and ensures all engineering teams share the same understanding before implementation begins.</w:t>
      </w:r>
    </w:p>
    <w:p>
      <w:pPr>
        <w:pStyle w:val="Heading2"/>
      </w:pPr>
      <w:r>
        <w:t>2. Context</w:t>
      </w:r>
    </w:p>
    <w:p>
      <w:r>
        <w:t>The platform is designed to solve a different problem from traditional dating applications. Instead of introducing strangers, it enables users to privately discover mutual romantic interest among people they already know. Privacy, trust and fairness are the primary architectural drivers.</w:t>
      </w:r>
    </w:p>
    <w:p>
      <w:pPr>
        <w:pStyle w:val="Heading2"/>
      </w:pPr>
      <w:r>
        <w:t>3. Architectural Decision</w:t>
      </w:r>
    </w:p>
    <w:p>
      <w:r>
        <w:t>Decision: Adopt a cloud-native microservices architecture from Version 1.</w:t>
        <w:br/>
        <w:br/>
        <w:t>Key decisions:</w:t>
        <w:br/>
        <w:t>• API Gateway as the single entry point.</w:t>
        <w:br/>
        <w:t>• Database-per-service.</w:t>
        <w:br/>
        <w:t>• Independent deployability.</w:t>
        <w:br/>
        <w:t>• REST communication initially with an evolution path to event-driven messaging.</w:t>
        <w:br/>
        <w:t>• Dedicated Social Graph Service to isolate all external connection providers.</w:t>
      </w:r>
    </w:p>
    <w:p>
      <w:pPr>
        <w:pStyle w:val="Heading2"/>
      </w:pPr>
      <w:r>
        <w:t>4. Alternatives Considered</w:t>
      </w:r>
    </w:p>
    <w:tbl>
      <w:tblPr>
        <w:tblW w:type="auto" w:w="0"/>
        <w:tblLook w:firstColumn="1" w:firstRow="1" w:lastColumn="0" w:lastRow="0" w:noHBand="0" w:noVBand="1" w:val="04A0"/>
      </w:tblPr>
      <w:tblGrid>
        <w:gridCol w:w="2880"/>
        <w:gridCol w:w="2880"/>
        <w:gridCol w:w="2880"/>
      </w:tblGrid>
      <w:tr>
        <w:tc>
          <w:tcPr>
            <w:tcW w:type="dxa" w:w="2880"/>
          </w:tcPr>
          <w:p>
            <w:r>
              <w:t>Alternative</w:t>
            </w:r>
          </w:p>
        </w:tc>
        <w:tc>
          <w:tcPr>
            <w:tcW w:type="dxa" w:w="2880"/>
          </w:tcPr>
          <w:p>
            <w:r>
              <w:t>Advantages</w:t>
            </w:r>
          </w:p>
        </w:tc>
        <w:tc>
          <w:tcPr>
            <w:tcW w:type="dxa" w:w="2880"/>
          </w:tcPr>
          <w:p>
            <w:r>
              <w:t>Why Not Selected</w:t>
            </w:r>
          </w:p>
        </w:tc>
      </w:tr>
      <w:tr>
        <w:tc>
          <w:tcPr>
            <w:tcW w:type="dxa" w:w="2880"/>
          </w:tcPr>
          <w:p>
            <w:r>
              <w:t>Modular Monolith</w:t>
            </w:r>
          </w:p>
        </w:tc>
        <w:tc>
          <w:tcPr>
            <w:tcW w:type="dxa" w:w="2880"/>
          </w:tcPr>
          <w:p>
            <w:r>
              <w:t>Simpler deployment, easier debugging</w:t>
            </w:r>
          </w:p>
        </w:tc>
        <w:tc>
          <w:tcPr>
            <w:tcW w:type="dxa" w:w="2880"/>
          </w:tcPr>
          <w:p>
            <w:r>
              <w:t>Would require future extraction into services and tighter coupling.</w:t>
            </w:r>
          </w:p>
        </w:tc>
      </w:tr>
      <w:tr>
        <w:tc>
          <w:tcPr>
            <w:tcW w:type="dxa" w:w="2880"/>
          </w:tcPr>
          <w:p>
            <w:r>
              <w:t>Microservices (Selected)</w:t>
            </w:r>
          </w:p>
        </w:tc>
        <w:tc>
          <w:tcPr>
            <w:tcW w:type="dxa" w:w="2880"/>
          </w:tcPr>
          <w:p>
            <w:r>
              <w:t>Independent deployment, scalability, clear ownership</w:t>
            </w:r>
          </w:p>
        </w:tc>
        <w:tc>
          <w:tcPr>
            <w:tcW w:type="dxa" w:w="2880"/>
          </w:tcPr>
          <w:p>
            <w:r>
              <w:t>Higher operational complexity accepted for long-term flexibility.</w:t>
            </w:r>
          </w:p>
        </w:tc>
      </w:tr>
    </w:tbl>
    <w:p>
      <w:pPr>
        <w:pStyle w:val="Heading2"/>
      </w:pPr>
      <w:r>
        <w:t>5. Trade-offs</w:t>
      </w:r>
    </w:p>
    <w:tbl>
      <w:tblPr>
        <w:tblW w:type="auto" w:w="0"/>
        <w:tblLook w:firstColumn="1" w:firstRow="1" w:lastColumn="0" w:lastRow="0" w:noHBand="0" w:noVBand="1" w:val="04A0"/>
      </w:tblPr>
      <w:tblGrid>
        <w:gridCol w:w="4320"/>
        <w:gridCol w:w="4320"/>
      </w:tblGrid>
      <w:tr>
        <w:tc>
          <w:tcPr>
            <w:tcW w:type="dxa" w:w="4320"/>
          </w:tcPr>
          <w:p>
            <w:r>
              <w:t>Benefit</w:t>
            </w:r>
          </w:p>
        </w:tc>
        <w:tc>
          <w:tcPr>
            <w:tcW w:type="dxa" w:w="4320"/>
          </w:tcPr>
          <w:p>
            <w:r>
              <w:t>Cost</w:t>
            </w:r>
          </w:p>
        </w:tc>
      </w:tr>
      <w:tr>
        <w:tc>
          <w:tcPr>
            <w:tcW w:type="dxa" w:w="4320"/>
          </w:tcPr>
          <w:p>
            <w:r>
              <w:t>Independent service deployment</w:t>
            </w:r>
          </w:p>
        </w:tc>
        <w:tc>
          <w:tcPr>
            <w:tcW w:type="dxa" w:w="4320"/>
          </w:tcPr>
          <w:p>
            <w:r>
              <w:t>More infrastructure and Docker containers</w:t>
            </w:r>
          </w:p>
        </w:tc>
      </w:tr>
      <w:tr>
        <w:tc>
          <w:tcPr>
            <w:tcW w:type="dxa" w:w="4320"/>
          </w:tcPr>
          <w:p>
            <w:r>
              <w:t>Database isolation</w:t>
            </w:r>
          </w:p>
        </w:tc>
        <w:tc>
          <w:tcPr>
            <w:tcW w:type="dxa" w:w="4320"/>
          </w:tcPr>
          <w:p>
            <w:r>
              <w:t>Cross-service communication complexity</w:t>
            </w:r>
          </w:p>
        </w:tc>
      </w:tr>
      <w:tr>
        <w:tc>
          <w:tcPr>
            <w:tcW w:type="dxa" w:w="4320"/>
          </w:tcPr>
          <w:p>
            <w:r>
              <w:t>Future scalability</w:t>
            </w:r>
          </w:p>
        </w:tc>
        <w:tc>
          <w:tcPr>
            <w:tcW w:type="dxa" w:w="4320"/>
          </w:tcPr>
          <w:p>
            <w:r>
              <w:t>Additional DevOps effort</w:t>
            </w:r>
          </w:p>
        </w:tc>
      </w:tr>
      <w:tr>
        <w:tc>
          <w:tcPr>
            <w:tcW w:type="dxa" w:w="4320"/>
          </w:tcPr>
          <w:p>
            <w:r>
              <w:t>Loose coupling</w:t>
            </w:r>
          </w:p>
        </w:tc>
        <w:tc>
          <w:tcPr>
            <w:tcW w:type="dxa" w:w="4320"/>
          </w:tcPr>
          <w:p>
            <w:r>
              <w:t>Distributed debugging</w:t>
            </w:r>
          </w:p>
        </w:tc>
      </w:tr>
    </w:tbl>
    <w:p>
      <w:pPr>
        <w:pStyle w:val="Heading2"/>
      </w:pPr>
      <w:r>
        <w:t>6. Risks</w:t>
      </w:r>
    </w:p>
    <w:p>
      <w:pPr>
        <w:pStyle w:val="ListBullet"/>
      </w:pPr>
      <w:r>
        <w:t>Operational complexity of multiple services.</w:t>
      </w:r>
    </w:p>
    <w:p>
      <w:pPr>
        <w:pStyle w:val="ListBullet"/>
      </w:pPr>
      <w:r>
        <w:t>Managing API version compatibility.</w:t>
      </w:r>
    </w:p>
    <w:p>
      <w:pPr>
        <w:pStyle w:val="ListBullet"/>
      </w:pPr>
      <w:r>
        <w:t>Distributed tracing and debugging.</w:t>
      </w:r>
    </w:p>
    <w:p>
      <w:pPr>
        <w:pStyle w:val="ListBullet"/>
      </w:pPr>
      <w:r>
        <w:t>Future event consistency challenges.</w:t>
      </w:r>
    </w:p>
    <w:p>
      <w:pPr>
        <w:pStyle w:val="ListBullet"/>
      </w:pPr>
      <w:r>
        <w:t>Maintaining privacy guarantees across all services.</w:t>
      </w:r>
    </w:p>
    <w:p>
      <w:pPr>
        <w:pStyle w:val="Heading2"/>
      </w:pPr>
      <w:r>
        <w:t>7. Assumptions</w:t>
      </w:r>
    </w:p>
    <w:p>
      <w:pPr>
        <w:pStyle w:val="ListBullet"/>
      </w:pPr>
      <w:r>
        <w:t>Flutter is the only client in V1.</w:t>
      </w:r>
    </w:p>
    <w:p>
      <w:pPr>
        <w:pStyle w:val="ListBullet"/>
      </w:pPr>
      <w:r>
        <w:t>Phone OTP is the authentication mechanism.</w:t>
      </w:r>
    </w:p>
    <w:p>
      <w:pPr>
        <w:pStyle w:val="ListBullet"/>
      </w:pPr>
      <w:r>
        <w:t>PostgreSQL is sufficient for initial scale.</w:t>
      </w:r>
    </w:p>
    <w:p>
      <w:pPr>
        <w:pStyle w:val="ListBullet"/>
      </w:pPr>
      <w:r>
        <w:t>REST APIs satisfy V1 communication needs.</w:t>
      </w:r>
    </w:p>
    <w:p>
      <w:pPr>
        <w:pStyle w:val="ListBullet"/>
      </w:pPr>
      <w:r>
        <w:t>Kafka/Event Bus will be introduced in later phases.</w:t>
      </w:r>
    </w:p>
    <w:p>
      <w:pPr>
        <w:pStyle w:val="Heading2"/>
      </w:pPr>
      <w:r>
        <w:t>8. Open Questions</w:t>
      </w:r>
    </w:p>
    <w:p>
      <w:pPr>
        <w:pStyle w:val="ListBullet"/>
      </w:pPr>
      <w:r>
        <w:t>Exact notification delay strategy.</w:t>
      </w:r>
    </w:p>
    <w:p>
      <w:pPr>
        <w:pStyle w:val="ListBullet"/>
      </w:pPr>
      <w:r>
        <w:t>Cross-device session management.</w:t>
      </w:r>
    </w:p>
    <w:p>
      <w:pPr>
        <w:pStyle w:val="ListBullet"/>
      </w:pPr>
      <w:r>
        <w:t>Future connector priority after contacts.</w:t>
      </w:r>
    </w:p>
    <w:p>
      <w:pPr>
        <w:pStyle w:val="ListBullet"/>
      </w:pPr>
      <w:r>
        <w:t>Offline support requirements.</w:t>
      </w:r>
    </w:p>
    <w:p>
      <w:pPr>
        <w:pStyle w:val="ListBullet"/>
      </w:pPr>
      <w:r>
        <w:t>Long-term data retention policy.</w:t>
      </w:r>
    </w:p>
    <w:p>
      <w:pPr>
        <w:pStyle w:val="Heading2"/>
      </w:pPr>
      <w:r>
        <w:t>9. Future Evolution</w:t>
      </w:r>
    </w:p>
    <w:p>
      <w:r>
        <w:t>The architecture is intentionally designed to evolve without major redesign. Future phases will introduce Kafka, Redis, Kubernetes, AI Moderation, Recommendation Engine, Media Service, Billing and advanced observability while preserving existing service boundaries.</w:t>
      </w:r>
    </w:p>
    <w:p>
      <w:pPr>
        <w:pStyle w:val="Heading2"/>
      </w:pPr>
      <w:r>
        <w:t>10. Executive Summary</w:t>
      </w:r>
    </w:p>
    <w:p>
      <w:r>
        <w:t>Version 1 will establish a privacy-first, cloud-ready microservices platform built around well-defined bounded contexts: Identity, User, Social Graph, Private List, Matching, Chat, Reveal, Fair Play and Notification. Every architectural decision prioritizes privacy, extensibility, independent deployment and long-term maintainability over short-term implementation simplicity.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