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High Level Design (HLD)</w:t>
      </w:r>
    </w:p>
    <w:p>
      <w:pPr>
        <w:pStyle w:val="Heading2"/>
        <w:jc w:val="center"/>
      </w:pPr>
      <w:r>
        <w:t>Chapter 3 – Architecture Principles</w:t>
      </w:r>
    </w:p>
    <w:p>
      <w:r>
        <w:t>Project: Private Mutual Connection Platform</w:t>
        <w:br/>
        <w:t>Version: 1.0</w:t>
        <w:br/>
        <w:t>Status: Draft</w:t>
      </w:r>
    </w:p>
    <w:p>
      <w:pPr>
        <w:pStyle w:val="Heading2"/>
      </w:pPr>
      <w:r>
        <w:t>1. Purpose</w:t>
      </w:r>
    </w:p>
    <w:p>
      <w:r>
        <w:t>This chapter defines the architectural principles that every service, API, database, and engineering decision must follow. These principles are mandatory guardrails for implementation and future evolution.</w:t>
      </w:r>
    </w:p>
    <w:p>
      <w:pPr>
        <w:pStyle w:val="Heading2"/>
      </w:pPr>
      <w:r>
        <w:t>2. Context</w:t>
      </w:r>
    </w:p>
    <w:p>
      <w:r>
        <w:t>The platform is expected to evolve from a V1 product into a large-scale distributed system. Architectural consistency is essential to ensure independent evolution of services while preserving privacy and maintainability.</w:t>
      </w:r>
    </w:p>
    <w:p>
      <w:pPr>
        <w:pStyle w:val="Heading2"/>
      </w:pPr>
      <w:r>
        <w:t>3. Quality Attributes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Core product differentiator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Sensitive user relationships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Growth without redesign</w:t>
            </w:r>
          </w:p>
        </w:tc>
      </w:tr>
      <w:tr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Independent service evolution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Distributed troubleshooting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Graceful degradation acceptable</w:t>
            </w:r>
          </w:p>
        </w:tc>
      </w:tr>
    </w:tbl>
    <w:p>
      <w:pPr>
        <w:pStyle w:val="Heading2"/>
      </w:pPr>
      <w:r>
        <w:t>4. Architecture Principles</w:t>
      </w:r>
    </w:p>
    <w:p>
      <w:pPr>
        <w:pStyle w:val="Heading3"/>
      </w:pPr>
      <w:r>
        <w:t>P1 - Privacy First</w:t>
      </w:r>
    </w:p>
    <w:p>
      <w:r>
        <w:t>No feature may expose user identity before a successful mutual reveal.</w:t>
      </w:r>
    </w:p>
    <w:p>
      <w:pPr>
        <w:pStyle w:val="Heading3"/>
      </w:pPr>
      <w:r>
        <w:t>P2 - Microservice Boundaries</w:t>
      </w:r>
    </w:p>
    <w:p>
      <w:r>
        <w:t>Each bounded context is an independent deployable service.</w:t>
      </w:r>
    </w:p>
    <w:p>
      <w:pPr>
        <w:pStyle w:val="Heading3"/>
      </w:pPr>
      <w:r>
        <w:t>P3 - Database Ownership</w:t>
      </w:r>
    </w:p>
    <w:p>
      <w:r>
        <w:t>Every service owns its database. Cross-service database access is prohibited.</w:t>
      </w:r>
    </w:p>
    <w:p>
      <w:pPr>
        <w:pStyle w:val="Heading3"/>
      </w:pPr>
      <w:r>
        <w:t>P4 - API First</w:t>
      </w:r>
    </w:p>
    <w:p>
      <w:r>
        <w:t>All capabilities are exposed through versioned APIs.</w:t>
      </w:r>
    </w:p>
    <w:p>
      <w:pPr>
        <w:pStyle w:val="Heading3"/>
      </w:pPr>
      <w:r>
        <w:t>P5 - Event Ready</w:t>
      </w:r>
    </w:p>
    <w:p>
      <w:r>
        <w:t>Design synchronous today, evolve to asynchronous events tomorrow.</w:t>
      </w:r>
    </w:p>
    <w:p>
      <w:pPr>
        <w:pStyle w:val="Heading3"/>
      </w:pPr>
      <w:r>
        <w:t>P6 - Stateless Services</w:t>
      </w:r>
    </w:p>
    <w:p>
      <w:r>
        <w:t>Business services remain stateless wherever practical.</w:t>
      </w:r>
    </w:p>
    <w:p>
      <w:pPr>
        <w:pStyle w:val="Heading3"/>
      </w:pPr>
      <w:r>
        <w:t>P7 - Single Responsibility</w:t>
      </w:r>
    </w:p>
    <w:p>
      <w:r>
        <w:t>Each service owns one business capability.</w:t>
      </w:r>
    </w:p>
    <w:p>
      <w:pPr>
        <w:pStyle w:val="Heading3"/>
      </w:pPr>
      <w:r>
        <w:t>P8 - Least Privilege</w:t>
      </w:r>
    </w:p>
    <w:p>
      <w:r>
        <w:t>Services receive only the permissions they require.</w:t>
      </w:r>
    </w:p>
    <w:p>
      <w:pPr>
        <w:pStyle w:val="Heading3"/>
      </w:pPr>
      <w:r>
        <w:t>P9 - Backward Compatibility</w:t>
      </w:r>
    </w:p>
    <w:p>
      <w:r>
        <w:t>Public APIs should evolve without breaking existing clients.</w:t>
      </w:r>
    </w:p>
    <w:p>
      <w:pPr>
        <w:pStyle w:val="Heading3"/>
      </w:pPr>
      <w:r>
        <w:t>P10 - Observability</w:t>
      </w:r>
    </w:p>
    <w:p>
      <w:r>
        <w:t>Every request must be traceable through logs, metrics and tracing.</w:t>
      </w:r>
    </w:p>
    <w:p>
      <w:pPr>
        <w:pStyle w:val="Heading2"/>
      </w:pPr>
      <w:r>
        <w:t>5. Design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Domain-Driven Design</w:t>
            </w:r>
          </w:p>
        </w:tc>
        <w:tc>
          <w:tcPr>
            <w:tcW w:type="dxa" w:w="2880"/>
          </w:tcPr>
          <w:p>
            <w:r>
              <w:t>Service boundaries</w:t>
            </w:r>
          </w:p>
        </w:tc>
        <w:tc>
          <w:tcPr>
            <w:tcW w:type="dxa" w:w="2880"/>
          </w:tcPr>
          <w:p>
            <w:r>
              <w:t>Align architecture with business domains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Social Graph connectors</w:t>
            </w:r>
          </w:p>
        </w:tc>
        <w:tc>
          <w:tcPr>
            <w:tcW w:type="dxa" w:w="2880"/>
          </w:tcPr>
          <w:p>
            <w:r>
              <w:t>Pluggable import sources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Persistence abstraction</w:t>
            </w:r>
          </w:p>
        </w:tc>
      </w:tr>
      <w:tr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2880"/>
          </w:tcPr>
          <w:p>
            <w:r>
              <w:t>Connector creation</w:t>
            </w:r>
          </w:p>
        </w:tc>
        <w:tc>
          <w:tcPr>
            <w:tcW w:type="dxa" w:w="2880"/>
          </w:tcPr>
          <w:p>
            <w:r>
              <w:t>Simplified extensibility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Ingress</w:t>
            </w:r>
          </w:p>
        </w:tc>
        <w:tc>
          <w:tcPr>
            <w:tcW w:type="dxa" w:w="2880"/>
          </w:tcPr>
          <w:p>
            <w:r>
              <w:t>Central routing and security</w:t>
            </w:r>
          </w:p>
        </w:tc>
      </w:tr>
      <w:tr>
        <w:tc>
          <w:tcPr>
            <w:tcW w:type="dxa" w:w="2880"/>
          </w:tcPr>
          <w:p>
            <w:r>
              <w:t>Saga (Future)</w:t>
            </w:r>
          </w:p>
        </w:tc>
        <w:tc>
          <w:tcPr>
            <w:tcW w:type="dxa" w:w="2880"/>
          </w:tcPr>
          <w:p>
            <w:r>
              <w:t>Distributed workflows</w:t>
            </w:r>
          </w:p>
        </w:tc>
        <w:tc>
          <w:tcPr>
            <w:tcW w:type="dxa" w:w="2880"/>
          </w:tcPr>
          <w:p>
            <w:r>
              <w:t>Cross-service consistency</w:t>
            </w:r>
          </w:p>
        </w:tc>
      </w:tr>
      <w:tr>
        <w:tc>
          <w:tcPr>
            <w:tcW w:type="dxa" w:w="2880"/>
          </w:tcPr>
          <w:p>
            <w:r>
              <w:t>Outbox (Future)</w:t>
            </w:r>
          </w:p>
        </w:tc>
        <w:tc>
          <w:tcPr>
            <w:tcW w:type="dxa" w:w="2880"/>
          </w:tcPr>
          <w:p>
            <w:r>
              <w:t>Event publishing</w:t>
            </w:r>
          </w:p>
        </w:tc>
        <w:tc>
          <w:tcPr>
            <w:tcW w:type="dxa" w:w="2880"/>
          </w:tcPr>
          <w:p>
            <w:r>
              <w:t>Reliable messaging</w:t>
            </w:r>
          </w:p>
        </w:tc>
      </w:tr>
    </w:tbl>
    <w:p>
      <w:pPr>
        <w:pStyle w:val="Heading2"/>
      </w:pPr>
      <w:r>
        <w:t>6. Decision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Chosen</w:t>
            </w:r>
          </w:p>
        </w:tc>
        <w:tc>
          <w:tcPr>
            <w:tcW w:type="dxa" w:w="2160"/>
          </w:tcPr>
          <w:p>
            <w:r>
              <w:t>Alternative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Microservices</w:t>
            </w:r>
          </w:p>
        </w:tc>
        <w:tc>
          <w:tcPr>
            <w:tcW w:type="dxa" w:w="2160"/>
          </w:tcPr>
          <w:p>
            <w:r>
              <w:t>Modular Monolith</w:t>
            </w:r>
          </w:p>
        </w:tc>
        <w:tc>
          <w:tcPr>
            <w:tcW w:type="dxa" w:w="2160"/>
          </w:tcPr>
          <w:p>
            <w:r>
              <w:t>Independent deployment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Per Service</w:t>
            </w:r>
          </w:p>
        </w:tc>
        <w:tc>
          <w:tcPr>
            <w:tcW w:type="dxa" w:w="2160"/>
          </w:tcPr>
          <w:p>
            <w:r>
              <w:t>Shared DB</w:t>
            </w:r>
          </w:p>
        </w:tc>
        <w:tc>
          <w:tcPr>
            <w:tcW w:type="dxa" w:w="2160"/>
          </w:tcPr>
          <w:p>
            <w:r>
              <w:t>Loose coupling</w:t>
            </w:r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REST -&gt; Events</w:t>
            </w:r>
          </w:p>
        </w:tc>
        <w:tc>
          <w:tcPr>
            <w:tcW w:type="dxa" w:w="2160"/>
          </w:tcPr>
          <w:p>
            <w:r>
              <w:t>Immediate Kafka</w:t>
            </w:r>
          </w:p>
        </w:tc>
        <w:tc>
          <w:tcPr>
            <w:tcW w:type="dxa" w:w="2160"/>
          </w:tcPr>
          <w:p>
            <w:r>
              <w:t>Reduce V1 complexity</w:t>
            </w:r>
          </w:p>
        </w:tc>
      </w:tr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Flutter</w:t>
            </w:r>
          </w:p>
        </w:tc>
        <w:tc>
          <w:tcPr>
            <w:tcW w:type="dxa" w:w="2160"/>
          </w:tcPr>
          <w:p>
            <w:r>
              <w:t>Native Android/iOS</w:t>
            </w:r>
          </w:p>
        </w:tc>
        <w:tc>
          <w:tcPr>
            <w:tcW w:type="dxa" w:w="2160"/>
          </w:tcPr>
          <w:p>
            <w:r>
              <w:t>Single codebase</w:t>
            </w:r>
          </w:p>
        </w:tc>
      </w:tr>
      <w:tr>
        <w:tc>
          <w:tcPr>
            <w:tcW w:type="dxa" w:w="2160"/>
          </w:tcPr>
          <w:p>
            <w:r>
              <w:t>Contacts</w:t>
            </w:r>
          </w:p>
        </w:tc>
        <w:tc>
          <w:tcPr>
            <w:tcW w:type="dxa" w:w="2160"/>
          </w:tcPr>
          <w:p>
            <w:r>
              <w:t>Social Graph Service</w:t>
            </w:r>
          </w:p>
        </w:tc>
        <w:tc>
          <w:tcPr>
            <w:tcW w:type="dxa" w:w="2160"/>
          </w:tcPr>
          <w:p>
            <w:r>
              <w:t>Embedded in User</w:t>
            </w:r>
          </w:p>
        </w:tc>
        <w:tc>
          <w:tcPr>
            <w:tcW w:type="dxa" w:w="2160"/>
          </w:tcPr>
          <w:p>
            <w:r>
              <w:t>Future extensibility</w:t>
            </w:r>
          </w:p>
        </w:tc>
      </w:tr>
    </w:tbl>
    <w:p>
      <w:pPr>
        <w:pStyle w:val="Heading2"/>
      </w:pPr>
      <w:r>
        <w:t>7. ADR References</w:t>
      </w:r>
    </w:p>
    <w:p>
      <w:pPr>
        <w:pStyle w:val="ListBullet"/>
      </w:pPr>
      <w:r>
        <w:t>ADR-001: Adopt microservices.</w:t>
      </w:r>
    </w:p>
    <w:p>
      <w:pPr>
        <w:pStyle w:val="ListBullet"/>
      </w:pPr>
      <w:r>
        <w:t>ADR-002: Database-per-service.</w:t>
      </w:r>
    </w:p>
    <w:p>
      <w:pPr>
        <w:pStyle w:val="ListBullet"/>
      </w:pPr>
      <w:r>
        <w:t>ADR-003: Social Graph isolates external integrations.</w:t>
      </w:r>
    </w:p>
    <w:p>
      <w:pPr>
        <w:pStyle w:val="ListBullet"/>
      </w:pPr>
      <w:r>
        <w:t>ADR-004: Batch matching protects anonymity.</w:t>
      </w:r>
    </w:p>
    <w:p>
      <w:pPr>
        <w:pStyle w:val="ListBullet"/>
      </w:pPr>
      <w:r>
        <w:t>ADR-005: API-first design.</w:t>
      </w:r>
    </w:p>
    <w:p>
      <w:pPr>
        <w:pStyle w:val="Heading2"/>
      </w:pPr>
      <w:r>
        <w:t>8. Risks &amp; Trade-offs</w:t>
      </w:r>
    </w:p>
    <w:p>
      <w:r>
        <w:t>Microservices increase operational complexity, deployment overhead and distributed debugging. These costs are accepted in exchange for long-term scalability, independent deployments and clear ownership.</w:t>
      </w:r>
    </w:p>
    <w:p>
      <w:pPr>
        <w:pStyle w:val="Heading2"/>
      </w:pPr>
      <w:r>
        <w:t>9. Future Evolution</w:t>
      </w:r>
    </w:p>
    <w:p>
      <w:r>
        <w:t>Future phases will introduce Kafka, Redis, CQRS where justified, Saga orchestration, Kubernetes, service mesh, distributed tracing and feature flags without changing the core service boundaries.</w:t>
      </w:r>
    </w:p>
    <w:p>
      <w:pPr>
        <w:pStyle w:val="Heading2"/>
      </w:pPr>
      <w:r>
        <w:t>10. Summary</w:t>
      </w:r>
    </w:p>
    <w:p>
      <w:r>
        <w:t>These principles are non-negotiable engineering standards. Any architectural decision that conflicts with them requires a new Architectural Decision Record (ADR) and formal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