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spacing w:after="600"/>
      </w:pPr>
      <w:r>
        <w:rPr>
          <w:b/>
          <w:bCs/>
          <w:sz w:val="24"/>
          <w:szCs w:val="24"/>
        </w:rPr>
        <w:t xml:space="preserve">Gläubiger- und Forderungsübersicht vom     25.09.2025</w:t>
      </w:r>
    </w:p>
    <w:p>
      <w:pPr>
        <w:spacing w:after="800"/>
      </w:pPr>
      <w:r>
        <w:rPr>
          <w:b/>
          <w:bCs/>
          <w:sz w:val="22"/>
          <w:szCs w:val="22"/>
        </w:rPr>
        <w:t xml:space="preserve">Antragsteller/-in:</w:t>
      </w:r>
      <w:r>
        <w:rPr>
          <w:sz w:val="22"/>
          <w:szCs w:val="22"/>
        </w:rPr>
        <w:t xml:space="preserve">     Thomas Scuric</w:t>
      </w: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tcPr>
            <w:tcW w:type="pct" w:w="5%"/>
            <w:shd w:fill="D9D9FF"/>
          </w:tcPr>
          <w:p>
            <w:pPr>
              <w:jc w:val="center"/>
            </w:pPr>
            <w:r>
              <w:rPr>
                <w:b/>
                <w:bCs/>
                <w:sz w:val="18"/>
                <w:szCs w:val="18"/>
              </w:rPr>
              <w:t xml:space="preserve">Nr.</w:t>
            </w:r>
          </w:p>
        </w:tc>
        <w:tc>
          <w:tcPr>
            <w:tcW w:type="pct" w:w="25%"/>
            <w:shd w:fill="D9D9FF"/>
          </w:tcPr>
          <w:p>
            <w:pPr>
              <w:jc w:val="center"/>
            </w:pPr>
            <w:r>
              <w:rPr>
                <w:b/>
                <w:bCs/>
                <w:sz w:val="18"/>
                <w:szCs w:val="18"/>
              </w:rPr>
              <w:t xml:space="preserve">Gläubiger</w:t>
            </w:r>
          </w:p>
        </w:tc>
        <w:tc>
          <w:tcPr>
            <w:tcW w:type="pct" w:w="12%"/>
            <w:shd w:fill="D9D9FF"/>
          </w:tcPr>
          <w:p>
            <w:pPr>
              <w:jc w:val="center"/>
            </w:pPr>
            <w:r>
              <w:rPr>
                <w:b/>
                <w:bCs/>
                <w:sz w:val="18"/>
                <w:szCs w:val="18"/>
              </w:rPr>
              <w:t xml:space="preserve">Aktenzeichen</w:t>
            </w:r>
          </w:p>
        </w:tc>
        <w:tc>
          <w:tcPr>
            <w:tcW w:type="pct" w:w="25%"/>
            <w:shd w:fill="D9D9FF"/>
          </w:tcPr>
          <w:p>
            <w:pPr>
              <w:jc w:val="center"/>
            </w:pPr>
            <w:r>
              <w:rPr>
                <w:b/>
                <w:bCs/>
                <w:sz w:val="18"/>
                <w:szCs w:val="18"/>
              </w:rPr>
              <w:t xml:space="preserve">Gläubigervertreter</w:t>
            </w:r>
          </w:p>
        </w:tc>
        <w:tc>
          <w:tcPr>
            <w:tcW w:type="pct" w:w="10%"/>
            <w:shd w:fill="D9D9FF"/>
          </w:tcPr>
          <w:p>
            <w:pPr>
              <w:jc w:val="center"/>
            </w:pPr>
            <w:r>
              <w:rPr>
                <w:b/>
                <w:bCs/>
                <w:sz w:val="18"/>
                <w:szCs w:val="18"/>
              </w:rPr>
              <w:t xml:space="preserve">Aktenzeichen</w:t>
            </w:r>
          </w:p>
        </w:tc>
        <w:tc>
          <w:tcPr>
            <w:tcW w:type="pct" w:w="8%"/>
            <w:shd w:fill="D9D9FF"/>
          </w:tcPr>
          <w:p>
            <w:pPr>
              <w:jc w:val="center"/>
            </w:pPr>
            <w:r>
              <w:rPr>
                <w:b/>
                <w:bCs/>
                <w:sz w:val="18"/>
                <w:szCs w:val="18"/>
              </w:rPr>
              <w:t xml:space="preserve">berechnet zum Datum EUR</w:t>
            </w:r>
          </w:p>
        </w:tc>
        <w:tc>
          <w:tcPr>
            <w:tcW w:type="pct" w:w="8%"/>
            <w:shd w:fill="D9D9FF"/>
          </w:tcPr>
          <w:p>
            <w:pPr>
              <w:jc w:val="center"/>
            </w:pPr>
            <w:r>
              <w:rPr>
                <w:b/>
                <w:bCs/>
                <w:sz w:val="18"/>
                <w:szCs w:val="18"/>
              </w:rPr>
              <w:t xml:space="preserve">Gesamt-forderung EUR</w:t>
            </w:r>
          </w:p>
        </w:tc>
        <w:tc>
          <w:tcPr>
            <w:tcW w:type="pct" w:w="7%"/>
            <w:shd w:fill="D9D9FF"/>
          </w:tcPr>
          <w:p>
            <w:pPr>
              <w:jc w:val="center"/>
            </w:pPr>
            <w:r>
              <w:rPr>
                <w:b/>
                <w:bCs/>
                <w:sz w:val="18"/>
                <w:szCs w:val="18"/>
              </w:rPr>
              <w:t xml:space="preserve">Forderungsgrund</w:t>
            </w:r>
          </w:p>
        </w:tc>
        <w:tc>
          <w:tcPr>
            <w:tcW w:type="pct" w:w="10%"/>
            <w:shd w:fill="D9D9FF"/>
          </w:tcPr>
          <w:p>
            <w:pPr>
              <w:jc w:val="center"/>
            </w:pPr>
            <w:r>
              <w:rPr>
                <w:b/>
                <w:bCs/>
                <w:sz w:val="18"/>
                <w:szCs w:val="18"/>
              </w:rPr>
              <w:t xml:space="preserve">Bemerkungen</w:t>
            </w:r>
          </w:p>
        </w:tc>
      </w:tr>
      <w:tr>
        <w:tc>
          <w:tcPr>
            <w:tcW w:type="pct" w:w="5%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1</w:t>
            </w:r>
          </w:p>
        </w:tc>
        <w:tc>
          <w:tcPr>
            <w:tcW w:type="pct" w:w="25%"/>
          </w:tcPr>
          <w:p>
            <w:pPr>
              <w:jc w:val="left"/>
            </w:pPr>
            <w:r>
              <w:rPr>
                <w:sz w:val="16"/>
                <w:szCs w:val="16"/>
              </w:rPr>
              <w:t xml:space="preserve">EOS Deutscher Inkasso-Dienst GmbH
Steindamm 71, 20099 Hamburg
E-Mail: service@eos-did.com</w:t>
            </w:r>
          </w:p>
        </w:tc>
        <w:tc>
          <w:tcPr>
            <w:tcW w:type="pct" w:w="12%"/>
          </w:tcPr>
          <w:p>
            <w:pPr>
              <w:jc w:val="left"/>
            </w:pPr>
            <w:r>
              <w:rPr>
                <w:sz w:val="16"/>
                <w:szCs w:val="16"/>
              </w:rPr>
              <w:t xml:space="preserve">57852774001</w:t>
            </w:r>
          </w:p>
        </w:tc>
        <w:tc>
          <w:tcPr>
            <w:tcW w:type="pct" w:w="25%"/>
          </w:tcPr>
          <w:p>
            <w:pPr>
              <w:jc w:val="left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type="pct" w:w="10%"/>
          </w:tcPr>
          <w:p>
            <w:pPr>
              <w:jc w:val="left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type="pct" w:w="8%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type="pct" w:w="8%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795,56 €</w:t>
            </w:r>
          </w:p>
        </w:tc>
        <w:tc>
          <w:tcPr>
            <w:tcW w:type="pct" w:w="7%"/>
          </w:tcPr>
          <w:p>
            <w:pPr>
              <w:jc w:val="left"/>
            </w:pPr>
            <w:r>
              <w:rPr>
                <w:sz w:val="16"/>
                <w:szCs w:val="16"/>
              </w:rPr>
              <w:t xml:space="preserve">Forderung</w:t>
            </w:r>
          </w:p>
        </w:tc>
        <w:tc>
          <w:tcPr>
            <w:tcW w:type="pct" w:w="10%"/>
          </w:tcPr>
          <w:p>
            <w:pPr>
              <w:jc w:val="left"/>
            </w:pPr>
            <w:r>
              <w:rPr>
                <w:sz w:val="16"/>
                <w:szCs w:val="16"/>
              </w:rPr>
              <w:t xml:space="preserve"/>
            </w:r>
          </w:p>
        </w:tc>
      </w:tr>
      <w:tr>
        <w:tc>
          <w:tcPr>
            <w:tcW w:type="pct" w:w="5%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2</w:t>
            </w:r>
          </w:p>
        </w:tc>
        <w:tc>
          <w:tcPr>
            <w:tcW w:type="pct" w:w="25%"/>
          </w:tcPr>
          <w:p>
            <w:pPr>
              <w:jc w:val="left"/>
            </w:pPr>
            <w:r>
              <w:rPr>
                <w:sz w:val="16"/>
                <w:szCs w:val="16"/>
              </w:rPr>
              <w:t xml:space="preserve">EOS Deutscher Inkasso-Dienst GmbH
Steindamm 71, 20099 Hamburg
E-Mail: service@eos-did.com</w:t>
            </w:r>
          </w:p>
        </w:tc>
        <w:tc>
          <w:tcPr>
            <w:tcW w:type="pct" w:w="12%"/>
          </w:tcPr>
          <w:p>
            <w:pPr>
              <w:jc w:val="left"/>
            </w:pPr>
            <w:r>
              <w:rPr>
                <w:sz w:val="16"/>
                <w:szCs w:val="16"/>
              </w:rPr>
              <w:t xml:space="preserve">57852774001</w:t>
            </w:r>
          </w:p>
        </w:tc>
        <w:tc>
          <w:tcPr>
            <w:tcW w:type="pct" w:w="25%"/>
          </w:tcPr>
          <w:p>
            <w:pPr>
              <w:jc w:val="left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type="pct" w:w="10%"/>
          </w:tcPr>
          <w:p>
            <w:pPr>
              <w:jc w:val="left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type="pct" w:w="8%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type="pct" w:w="8%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792,06 €</w:t>
            </w:r>
          </w:p>
        </w:tc>
        <w:tc>
          <w:tcPr>
            <w:tcW w:type="pct" w:w="7%"/>
          </w:tcPr>
          <w:p>
            <w:pPr>
              <w:jc w:val="left"/>
            </w:pPr>
            <w:r>
              <w:rPr>
                <w:sz w:val="16"/>
                <w:szCs w:val="16"/>
              </w:rPr>
              <w:t xml:space="preserve">Forderung</w:t>
            </w:r>
          </w:p>
        </w:tc>
        <w:tc>
          <w:tcPr>
            <w:tcW w:type="pct" w:w="10%"/>
          </w:tcPr>
          <w:p>
            <w:pPr>
              <w:jc w:val="left"/>
            </w:pPr>
            <w:r>
              <w:rPr>
                <w:sz w:val="16"/>
                <w:szCs w:val="16"/>
              </w:rPr>
              <w:t xml:space="preserve"/>
            </w:r>
          </w:p>
        </w:tc>
      </w:tr>
    </w:tbl>
    <w:p>
      <w:pPr>
        <w:spacing w:before="800" w:after="200"/>
        <w:jc w:val="right"/>
      </w:pPr>
      <w:r>
        <w:rPr>
          <w:sz w:val="18"/>
          <w:szCs w:val="18"/>
        </w:rPr>
        <w:t xml:space="preserve">Seite 1</w:t>
      </w:r>
    </w:p>
    <w:p>
      <w:pPr>
        <w:spacing w:before="400"/>
        <w:jc w:val="center"/>
      </w:pPr>
      <w:r>
        <w:rPr>
          <w:i/>
          <w:iCs/>
          <w:sz w:val="18"/>
          <w:szCs w:val="18"/>
        </w:rPr>
        <w:t xml:space="preserve">
Erstellt von Thomas Scuric Rechtsanwälte</w:t>
      </w:r>
    </w:p>
    <w:p>
      <w:pPr>
        <w:spacing w:after="200"/>
        <w:jc w:val="center"/>
      </w:pPr>
      <w:r>
        <w:rPr>
          <w:i/>
          <w:iCs/>
          <w:sz w:val="18"/>
          <w:szCs w:val="18"/>
        </w:rPr>
        <w:t xml:space="preserve">Datum: 25.09.2025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Gläubiger- und Forderungsübersicht</dc:title>
  <dc:creator>Thomas Scuric Rechtsanwälte</dc:creator>
  <cp:lastModifiedBy>Un-named</cp:lastModifiedBy>
  <cp:revision>1</cp:revision>
  <dcterms:created xsi:type="dcterms:W3CDTF">2025-09-25T19:25:56.161Z</dcterms:created>
  <dcterms:modified xsi:type="dcterms:W3CDTF">2025-09-25T19:25:56.161Z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