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"Name</w:t>
      </w:r>
      <w:r>
        <w:rPr>
          <w:spacing w:val="-8"/>
          <w:sz w:val="22"/>
        </w:rPr>
        <w:t> </w:t>
      </w:r>
      <w:r>
        <w:rPr>
          <w:sz w:val="22"/>
        </w:rPr>
        <w:t>Mandant" 909090/TS-JK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"Name</w:t>
      </w:r>
      <w:r>
        <w:rPr>
          <w:spacing w:val="-4"/>
        </w:rPr>
        <w:t> </w:t>
      </w:r>
      <w:r>
        <w:rPr/>
        <w:t>Mandant"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1.587,62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10.10.2025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904/24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TS-</w:t>
      </w:r>
      <w:r>
        <w:rPr>
          <w:b/>
          <w:spacing w:val="-5"/>
          <w:sz w:val="18"/>
        </w:rPr>
        <w:t>JK</w:t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01.01.1980 geboren und geschieden. new test 09 verfügt über Einkommen aus </w:t>
      </w:r>
      <w:r>
        <w:rPr>
          <w:i/>
        </w:rPr>
        <w:t>Erwerbstätigkeit </w:t>
      </w:r>
      <w:r>
        <w:rPr/>
        <w:t>von 1.500,00 €.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2.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792,06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49,89%%.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Frau Laux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24.10.2025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new test 09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01.08.2025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