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Teststraße 123, 12345 Berlin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"Name</w:t>
      </w:r>
      <w:r>
        <w:rPr>
          <w:spacing w:val="-8"/>
          <w:sz w:val="22"/>
        </w:rPr>
        <w:t> </w:t>
      </w:r>
      <w:r>
        <w:rPr>
          <w:sz w:val="22"/>
        </w:rPr>
        <w:t>Mandant" TEST-2025-001/TS-JK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"Name</w:t>
      </w:r>
      <w:r>
        <w:rPr>
          <w:spacing w:val="-4"/>
        </w:rPr>
        <w:t> </w:t>
      </w:r>
      <w:r>
        <w:rPr/>
        <w:t>Mandant"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3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15.000,00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10.10.2025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904/24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01.01.1980 geboren und verheiratet. "Mandant</w:t>
      </w:r>
      <w:r>
        <w:rPr>
          <w:spacing w:val="-1"/>
        </w:rPr>
        <w:t> </w:t>
      </w:r>
      <w:r>
        <w:rPr/>
        <w:t>Name"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1.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5.000,00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33,33%%.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Frau Laux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24.10.2025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Max Mustermann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01.08.2025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