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Bankstraße 1, 10115 Berlin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Test Kunde</w:t></w:r></w:p><w:p><w:pPr><w:spacing w:before="1"/><w:ind w:left="118" w:right="0" w:firstLine="0"/><w:jc w:val="left"/><w:rPr><w:sz w:val="22"/></w:rPr></w:pPr><w:r><w:rPr><w:color w:val="0E1012"/><w:spacing w:val="-8"/><w:sz w:val="22BANK-001-2025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Test Kunde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2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50.000,00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9.10.2025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MULTI-TEST-001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15.05.1980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"/></w:rPr><w:t>Mandanten&quot;</w:t></w:r><w:r><w:rPr><w:color w:val="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"/></w:rPr><w:t>Einkommen</w:t></w:r><w:r><w:rPr><w:color w:val="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3.000,00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1.070,00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"/></w:rPr><w:t>des Mandanten&quot; monatlich den pfändbaren Betrag in</w:t></w:r><w:r><w:rPr><w:color w:val="0F1012"/><w:spacing w:val="40"/><w:sz w:val="22"/></w:rPr><w:t> </w:t></w:r><w:r><w:rPr><w:color w:val="0F1012"/><w:sz w:val="22"/></w:rPr><w:t>Höhe von </w:t></w:r><w:r><w:rPr><w:i/><w:color w:val="0F1012"/><w:sz w:val="221.070,00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25.000,00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19.260,00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50.00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1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"/></w:rPr><w:t>Mandanten&quot;</w:t></w:r><w:r><w:rPr><w:color w:val="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23.10.2025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"/></w:rPr><w:t>Einkommens aufgrund von Arbeitslosig­ keit oder anderer nicht vom Schuldner zu vertretender Gründe wird der Zahlungsbetrag analog der Pfändungstabelle</w:t></w:r><w:r><w:rPr><w:color w:val="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"/></w:rPr><w:t>Bei einer wesentlichen Verbesserung der Einkommenssituation von dauerhaft mindes­ tens 10</w:t></w:r><w:r><w:rPr><w:color w:val="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"/></w:rPr><w:t>seine Einkommenssituation</w:t></w:r><w:r><w:rPr><w:color w:val="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