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30.09.2025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undefined/TS-JK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undefined</w:t>
      </w:r>
    </w:p>
    <w:p>
      <w:pPr>
        <w:spacing w:after="100"/>
      </w:pPr>
      <w:r>
        <w:rPr>
          <w:sz w:val="18"/>
          <w:szCs w:val="18"/>
        </w:rPr>
        <w:t xml:space="preserve">undefined</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undefined ist bei 12 Gläubigern mit insgesamt 13.990,00 €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undefined verfügt über Einkommen aus </w:t>
      </w:r>
      <w:r>
        <w:rPr>
          <w:i/>
          <w:iCs/>
          <w:sz w:val="22"/>
          <w:szCs w:val="22"/>
        </w:rPr>
        <w:t xml:space="preserve">Erwerbstätigkeit</w:t>
      </w:r>
      <w:r>
        <w:rPr>
          <w:sz w:val="22"/>
          <w:szCs w:val="22"/>
        </w:rPr>
        <w:t xml:space="preserve"> in Höhe von 993,03 €.</w:t>
      </w:r>
    </w:p>
    <w:p>
      <w:pPr>
        <w:spacing w:after="300"/>
      </w:pPr>
      <w:r>
        <w:rPr>
          <w:sz w:val="22"/>
          <w:szCs w:val="22"/>
        </w:rPr>
        <w:t xml:space="preserve">Somit ergibt sich ein pfändbarer Betrag nach der Tabelle zu § 850c ZPO von </w:t>
      </w:r>
      <w:r>
        <w:rPr>
          <w:i/>
          <w:iCs/>
          <w:sz w:val="22"/>
          <w:szCs w:val="22"/>
        </w:rPr>
        <w:t xml:space="preserve">245,80 €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undefined monatlich den pfändbaren Betrag in Höhe von </w:t>
      </w:r>
      <w:r>
        <w:rPr>
          <w:b/>
          <w:bCs/>
          <w:sz w:val="22"/>
          <w:szCs w:val="22"/>
        </w:rPr>
        <w:t xml:space="preserve">245,80 €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1.061,12 €.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undefined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undefined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2025-09-30T09:48:26.111Z</dcterms:created>
  <dcterms:modified xsi:type="dcterms:W3CDTF">2025-09-30T09:48:26.111Z</dcterms:modified>
</cp:coreProperties>
</file>

<file path=docProps/custom.xml><?xml version="1.0" encoding="utf-8"?>
<Properties xmlns="http://schemas.openxmlformats.org/officeDocument/2006/custom-properties" xmlns:vt="http://schemas.openxmlformats.org/officeDocument/2006/docPropsVTypes"/>
</file>