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26"/>
          <w:szCs w:val="26"/>
        </w:rPr>
        <w:t xml:space="preserve">Außergerichtlicher Schuldenbereinigungsplan vom 06.10.2025</w:t>
      </w:r>
    </w:p>
    <w:p>
      <w:pPr>
        <w:spacing w:after="400"/>
      </w:pPr>
      <w:r>
        <w:rPr>
          <w:b/>
          <w:bCs/>
          <w:sz w:val="20"/>
          <w:szCs w:val="20"/>
        </w:rPr>
        <w:t xml:space="preserve">Schuldner/-in:</w:t>
      </w:r>
      <w:r>
        <w:rPr>
          <w:sz w:val="20"/>
          <w:szCs w:val="20"/>
        </w:rPr>
        <w:t xml:space="preserve">     test 20</w:t>
      </w:r>
    </w:p>
    <w:p>
      <w:pPr>
        <w:spacing w:after="400"/>
      </w:pPr>
      <w:r>
        <w:rPr>
          <w:b/>
          <w:bCs/>
          <w:sz w:val="20"/>
          <w:szCs w:val="20"/>
        </w:rPr>
        <w:t xml:space="preserve">Quotenplan</w:t>
      </w:r>
      <w:r>
        <w:rPr>
          <w:sz w:val="20"/>
          <w:szCs w:val="20"/>
        </w:rPr>
        <w:t xml:space="preserve">                              Laufzeit: 36 Monate</w:t>
      </w:r>
    </w:p>
    <w:p>
      <w:pPr>
        <w:spacing w:after="600"/>
      </w:pPr>
      <w:r>
        <w:rPr>
          <w:sz w:val="20"/>
          <w:szCs w:val="20"/>
        </w:rPr>
        <w:t xml:space="preserve">Beginn des Zahlungsplans</w:t>
      </w:r>
      <w:r>
        <w:rPr>
          <w:sz w:val="20"/>
          <w:szCs w:val="20"/>
          <w:u w:val="single"/>
        </w:rPr>
        <w:t xml:space="preserve">          1.11.2025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gridCol w:w="100"/>
        <w:gridCol w:w="100"/>
        <w:gridCol w:w="100"/>
      </w:tblGrid>
      <w:tr>
        <w:tc>
          <w:tcPr>
            <w:tcW w:type="pct" w:w="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Nr.</w:t>
            </w:r>
          </w:p>
        </w:tc>
        <w:tc>
          <w:tcPr>
            <w:tcW w:type="pct" w:w="2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Gläubiger</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Forderung</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Quote von Gesamtverschuldung</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mtl.</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Gesamthöhe des Tilgungsangebots</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Regulierungsquote</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1</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795,56 €</w:t>
            </w:r>
          </w:p>
        </w:tc>
        <w:tc>
          <w:tcPr>
            <w:tcBorders>
              <w:top w:val="single" w:color="000000" w:sz="1"/>
              <w:left w:val="single" w:color="000000" w:sz="1"/>
              <w:bottom w:val="single" w:color="000000" w:sz="1"/>
              <w:right w:val="single" w:color="000000" w:sz="1"/>
            </w:tcBorders>
          </w:tcPr>
          <w:p>
            <w:pPr>
              <w:jc w:val="right"/>
            </w:pPr>
            <w:r>
              <w:rPr>
                <w:sz w:val="16"/>
                <w:szCs w:val="16"/>
              </w:rPr>
              <w:t xml:space="preserve">50,11 %</w:t>
            </w:r>
          </w:p>
        </w:tc>
        <w:tc>
          <w:tcPr>
            <w:tcBorders>
              <w:top w:val="single" w:color="000000" w:sz="1"/>
              <w:left w:val="single" w:color="000000" w:sz="1"/>
              <w:bottom w:val="single" w:color="000000" w:sz="1"/>
              <w:right w:val="single" w:color="000000" w:sz="1"/>
            </w:tcBorders>
          </w:tcPr>
          <w:p>
            <w:pPr>
              <w:jc w:val="right"/>
            </w:pPr>
            <w:r>
              <w:rPr>
                <w:sz w:val="16"/>
                <w:szCs w:val="16"/>
              </w:rPr>
              <w:t xml:space="preserve">90,14 €</w:t>
            </w:r>
          </w:p>
        </w:tc>
        <w:tc>
          <w:tcPr>
            <w:tcBorders>
              <w:top w:val="single" w:color="000000" w:sz="1"/>
              <w:left w:val="single" w:color="000000" w:sz="1"/>
              <w:bottom w:val="single" w:color="000000" w:sz="1"/>
              <w:right w:val="single" w:color="000000" w:sz="1"/>
            </w:tcBorders>
          </w:tcPr>
          <w:p>
            <w:pPr>
              <w:jc w:val="right"/>
            </w:pPr>
            <w:r>
              <w:rPr>
                <w:sz w:val="16"/>
                <w:szCs w:val="16"/>
              </w:rPr>
              <w:t xml:space="preserve">3.245,16 €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2</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792,06 €</w:t>
            </w:r>
          </w:p>
        </w:tc>
        <w:tc>
          <w:tcPr>
            <w:tcBorders>
              <w:top w:val="single" w:color="000000" w:sz="1"/>
              <w:left w:val="single" w:color="000000" w:sz="1"/>
              <w:bottom w:val="single" w:color="000000" w:sz="1"/>
              <w:right w:val="single" w:color="000000" w:sz="1"/>
            </w:tcBorders>
          </w:tcPr>
          <w:p>
            <w:pPr>
              <w:jc w:val="right"/>
            </w:pPr>
            <w:r>
              <w:rPr>
                <w:sz w:val="16"/>
                <w:szCs w:val="16"/>
              </w:rPr>
              <w:t xml:space="preserve">49,89 %</w:t>
            </w:r>
          </w:p>
        </w:tc>
        <w:tc>
          <w:tcPr>
            <w:tcBorders>
              <w:top w:val="single" w:color="000000" w:sz="1"/>
              <w:left w:val="single" w:color="000000" w:sz="1"/>
              <w:bottom w:val="single" w:color="000000" w:sz="1"/>
              <w:right w:val="single" w:color="000000" w:sz="1"/>
            </w:tcBorders>
          </w:tcPr>
          <w:p>
            <w:pPr>
              <w:jc w:val="right"/>
            </w:pPr>
            <w:r>
              <w:rPr>
                <w:sz w:val="16"/>
                <w:szCs w:val="16"/>
              </w:rPr>
              <w:t xml:space="preserve">89,75 €</w:t>
            </w:r>
          </w:p>
        </w:tc>
        <w:tc>
          <w:tcPr>
            <w:tcBorders>
              <w:top w:val="single" w:color="000000" w:sz="1"/>
              <w:left w:val="single" w:color="000000" w:sz="1"/>
              <w:bottom w:val="single" w:color="000000" w:sz="1"/>
              <w:right w:val="single" w:color="000000" w:sz="1"/>
            </w:tcBorders>
          </w:tcPr>
          <w:p>
            <w:pPr>
              <w:jc w:val="right"/>
            </w:pPr>
            <w:r>
              <w:rPr>
                <w:sz w:val="16"/>
                <w:szCs w:val="16"/>
              </w:rPr>
              <w:t xml:space="preserve">3.230,88 €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shd w:fill="E8E8E8"/>
          </w:tcPr>
          <w:p>
            <w:pPr>
              <w:jc w:val="center"/>
            </w:pPr>
            <w:r>
              <w:rPr>
                <w:sz w:val="16"/>
                <w:szCs w:val="16"/>
              </w:rPr>
              <w:t xml:space="preserve"/>
            </w:r>
          </w:p>
        </w:tc>
        <w:tc>
          <w:tcPr>
            <w:tcBorders>
              <w:top w:val="single" w:color="000000" w:sz="1"/>
              <w:left w:val="single" w:color="000000" w:sz="1"/>
              <w:bottom w:val="single" w:color="000000" w:sz="1"/>
              <w:right w:val="single" w:color="000000" w:sz="1"/>
            </w:tcBorders>
            <w:shd w:fill="E8E8E8"/>
          </w:tcPr>
          <w:p>
            <w:pPr>
              <w:jc w:val="left"/>
            </w:pPr>
            <w:r>
              <w:rPr>
                <w:b/>
                <w:bCs/>
                <w:sz w:val="16"/>
                <w:szCs w:val="16"/>
              </w:rPr>
              <w:t xml:space="preserve">Summe</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1.587,62 €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100,00%</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179,89 €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6.476,04 €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407,91 %</w:t>
            </w:r>
          </w:p>
        </w:tc>
      </w:tr>
    </w:tbl>
    <w:p>
      <w:pPr>
        <w:spacing w:after="400"/>
      </w:pPr>
      <w:r>
        <w:t xml:space="preserve"/>
      </w:r>
    </w:p>
    <w:p>
      <w:pPr>
        <w:spacing w:after="600"/>
        <w:ind w:left="5500" w:right="200"/>
        <w:jc w:val="both"/>
      </w:pPr>
      <w:r>
        <w:rPr>
          <w:sz w:val="18"/>
          <w:szCs w:val="18"/>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18"/>
          <w:szCs w:val="18"/>
        </w:rPr>
        <w:t xml:space="preserve">
Gesamtsumme aller Forderungen: 1.587,62 €</w:t>
      </w:r>
    </w:p>
    <w:p>
      <w:pPr>
        <w:spacing w:after="200"/>
      </w:pPr>
      <w:r>
        <w:rPr>
          <w:b/>
          <w:bCs/>
          <w:sz w:val="18"/>
          <w:szCs w:val="18"/>
        </w:rPr>
        <w:t xml:space="preserve">Monatliche Zahlungsrate: 179,89 €</w:t>
      </w:r>
    </w:p>
    <w:p>
      <w:pPr>
        <w:spacing w:after="200"/>
      </w:pPr>
      <w:r>
        <w:rPr>
          <w:b/>
          <w:bCs/>
          <w:sz w:val="18"/>
          <w:szCs w:val="18"/>
        </w:rPr>
        <w:t xml:space="preserve">Gesamte Zahlungssumme über 36 Monate: 0,00 €</w:t>
      </w:r>
    </w:p>
    <w:p>
      <w:pPr>
        <w:spacing w:after="600"/>
      </w:pPr>
      <w:r>
        <w:rPr>
          <w:b/>
          <w:bCs/>
          <w:sz w:val="18"/>
          <w:szCs w:val="18"/>
        </w:rPr>
        <w:t xml:space="preserve">Durchschnittliche Quote: 32.57%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06.10.2025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2025-10-06T10:55:59.895Z</dcterms:created>
  <dcterms:modified xsi:type="dcterms:W3CDTF">2025-10-06T10:55:59.895Z</dcterms:modified>
</cp:coreProperties>
</file>

<file path=docProps/custom.xml><?xml version="1.0" encoding="utf-8"?>
<Properties xmlns="http://schemas.openxmlformats.org/officeDocument/2006/custom-properties" xmlns:vt="http://schemas.openxmlformats.org/officeDocument/2006/docPropsVTypes"/>
</file>