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center"/>
      </w:pPr>
      <w:r>
        <w:rPr>
          <w:b/>
          <w:bCs/>
          <w:sz w:val="26"/>
          <w:szCs w:val="26"/>
        </w:rPr>
        <w:t xml:space="preserve">Außergerichtlicher Schuldenbereinigungsplan vom 06.10.2025</w:t>
      </w:r>
    </w:p>
    <w:p>
      <w:pPr>
        <w:spacing w:after="400"/>
      </w:pPr>
      <w:r>
        <w:rPr>
          <w:b/>
          <w:bCs/>
          <w:sz w:val="20"/>
          <w:szCs w:val="20"/>
        </w:rPr>
        <w:t xml:space="preserve">Schuldner/-in:</w:t>
      </w:r>
      <w:r>
        <w:rPr>
          <w:sz w:val="20"/>
          <w:szCs w:val="20"/>
        </w:rPr>
        <w:t xml:space="preserve">     test 20</w:t>
      </w:r>
    </w:p>
    <w:p>
      <w:pPr>
        <w:spacing w:after="400"/>
      </w:pPr>
      <w:r>
        <w:rPr>
          <w:b/>
          <w:bCs/>
          <w:sz w:val="20"/>
          <w:szCs w:val="20"/>
        </w:rPr>
        <w:t xml:space="preserve">Quotenplan</w:t>
      </w:r>
      <w:r>
        <w:rPr>
          <w:sz w:val="20"/>
          <w:szCs w:val="20"/>
        </w:rPr>
        <w:t xml:space="preserve">                              Laufzeit: 36 Monate</w:t>
      </w:r>
    </w:p>
    <w:p>
      <w:pPr>
        <w:spacing w:after="600"/>
      </w:pPr>
      <w:r>
        <w:rPr>
          <w:sz w:val="20"/>
          <w:szCs w:val="20"/>
        </w:rPr>
        <w:t xml:space="preserve">Beginn des Zahlungsplans</w:t>
      </w:r>
      <w:r>
        <w:rPr>
          <w:sz w:val="20"/>
          <w:szCs w:val="20"/>
          <w:u w:val="single"/>
        </w:rPr>
        <w:t xml:space="preserve">          1.11.2025</w:t>
      </w:r>
    </w:p>
    <w:tbl>
      <w:tblPr>
        <w:tblW w:type="pct" w:w="100%"/>
        <w:tblBorders>
          <w:top w:val="single" w:sz="1"/>
          <w:left w:val="single" w:sz="1"/>
          <w:bottom w:val="single" w:sz="1"/>
          <w:right w:val="single" w:sz="1"/>
          <w:insideH w:val="single" w:sz="1"/>
          <w:insideV w:val="single" w:sz="1"/>
        </w:tblBorders>
      </w:tblPr>
      <w:tblGrid>
        <w:gridCol w:w="100"/>
        <w:gridCol w:w="100"/>
        <w:gridCol w:w="100"/>
        <w:gridCol w:w="100"/>
        <w:gridCol w:w="100"/>
        <w:gridCol w:w="100"/>
        <w:gridCol w:w="100"/>
      </w:tblGrid>
      <w:tr>
        <w:tc>
          <w:tcPr>
            <w:tcW w:type="pct" w:w="6%"/>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Nr.</w:t>
            </w:r>
          </w:p>
        </w:tc>
        <w:tc>
          <w:tcPr>
            <w:tcW w:type="pct" w:w="22%"/>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Gläubiger</w:t>
            </w:r>
          </w:p>
        </w:tc>
        <w:tc>
          <w:tcPr>
            <w:tcW w:type="pct" w:w="12%"/>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Forderung</w:t>
            </w:r>
          </w:p>
        </w:tc>
        <w:tc>
          <w:tcPr>
            <w:tcW w:type="pct" w:w="16%"/>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Quote von Gesamtverschuldung</w:t>
            </w:r>
          </w:p>
        </w:tc>
        <w:tc>
          <w:tcPr>
            <w:tcW w:type="pct" w:w="12%"/>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mtl.</w:t>
            </w:r>
          </w:p>
        </w:tc>
        <w:tc>
          <w:tcPr>
            <w:tcW w:type="pct" w:w="16%"/>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Gesamthöhe des Tilgungsangebots</w:t>
            </w:r>
          </w:p>
        </w:tc>
        <w:tc>
          <w:tcPr>
            <w:tcW w:type="pct" w:w="16%"/>
            <w:tcBorders>
              <w:top w:val="single" w:color="000000" w:sz="1"/>
              <w:left w:val="single" w:color="000000" w:sz="1"/>
              <w:bottom w:val="single" w:color="000000" w:sz="1"/>
              <w:right w:val="single" w:color="000000" w:sz="1"/>
            </w:tcBorders>
            <w:shd w:fill="D9D9FF"/>
          </w:tcPr>
          <w:p>
            <w:pPr>
              <w:jc w:val="center"/>
            </w:pPr>
            <w:r>
              <w:rPr>
                <w:b/>
                <w:bCs/>
                <w:sz w:val="18"/>
                <w:szCs w:val="18"/>
              </w:rPr>
              <w:t xml:space="preserve">Regulierungsquote</w:t>
            </w:r>
          </w:p>
        </w:tc>
      </w:tr>
      <w:tr>
        <w:tc>
          <w:tcPr>
            <w:tcBorders>
              <w:top w:val="single" w:color="000000" w:sz="1"/>
              <w:left w:val="single" w:color="000000" w:sz="1"/>
              <w:bottom w:val="single" w:color="000000" w:sz="1"/>
              <w:right w:val="single" w:color="000000" w:sz="1"/>
            </w:tcBorders>
          </w:tcPr>
          <w:p>
            <w:pPr>
              <w:jc w:val="center"/>
            </w:pPr>
            <w:r>
              <w:rPr>
                <w:sz w:val="16"/>
                <w:szCs w:val="16"/>
              </w:rPr>
              <w:t xml:space="preserve">1</w:t>
            </w:r>
          </w:p>
        </w:tc>
        <w:tc>
          <w:tcPr>
            <w:tcBorders>
              <w:top w:val="single" w:color="000000" w:sz="1"/>
              <w:left w:val="single" w:color="000000" w:sz="1"/>
              <w:bottom w:val="single" w:color="000000" w:sz="1"/>
              <w:right w:val="single" w:color="000000" w:sz="1"/>
            </w:tcBorders>
          </w:tcPr>
          <w:p>
            <w:pPr>
              <w:jc w:val="left"/>
            </w:pPr>
            <w:r>
              <w:rPr>
                <w:sz w:val="16"/>
                <w:szCs w:val="16"/>
              </w:rPr>
              <w:t xml:space="preserve">EOS Deutscher Inkasso-Dienst GmbH</w:t>
            </w:r>
          </w:p>
        </w:tc>
        <w:tc>
          <w:tcPr>
            <w:tcBorders>
              <w:top w:val="single" w:color="000000" w:sz="1"/>
              <w:left w:val="single" w:color="000000" w:sz="1"/>
              <w:bottom w:val="single" w:color="000000" w:sz="1"/>
              <w:right w:val="single" w:color="000000" w:sz="1"/>
            </w:tcBorders>
          </w:tcPr>
          <w:p>
            <w:pPr>
              <w:jc w:val="right"/>
            </w:pPr>
            <w:r>
              <w:rPr>
                <w:sz w:val="16"/>
                <w:szCs w:val="16"/>
              </w:rPr>
              <w:t xml:space="preserve">795,56 €</w:t>
            </w:r>
          </w:p>
        </w:tc>
        <w:tc>
          <w:tcPr>
            <w:tcBorders>
              <w:top w:val="single" w:color="000000" w:sz="1"/>
              <w:left w:val="single" w:color="000000" w:sz="1"/>
              <w:bottom w:val="single" w:color="000000" w:sz="1"/>
              <w:right w:val="single" w:color="000000" w:sz="1"/>
            </w:tcBorders>
          </w:tcPr>
          <w:p>
            <w:pPr>
              <w:jc w:val="right"/>
            </w:pPr>
            <w:r>
              <w:rPr>
                <w:sz w:val="16"/>
                <w:szCs w:val="16"/>
              </w:rPr>
              <w:t xml:space="preserve">50,11 %</w:t>
            </w:r>
          </w:p>
        </w:tc>
        <w:tc>
          <w:tcPr>
            <w:tcBorders>
              <w:top w:val="single" w:color="000000" w:sz="1"/>
              <w:left w:val="single" w:color="000000" w:sz="1"/>
              <w:bottom w:val="single" w:color="000000" w:sz="1"/>
              <w:right w:val="single" w:color="000000" w:sz="1"/>
            </w:tcBorders>
          </w:tcPr>
          <w:p>
            <w:pPr>
              <w:jc w:val="right"/>
            </w:pPr>
            <w:r>
              <w:rPr>
                <w:sz w:val="16"/>
                <w:szCs w:val="16"/>
              </w:rPr>
              <w:t xml:space="preserve">90,14 €</w:t>
            </w:r>
          </w:p>
        </w:tc>
        <w:tc>
          <w:tcPr>
            <w:tcBorders>
              <w:top w:val="single" w:color="000000" w:sz="1"/>
              <w:left w:val="single" w:color="000000" w:sz="1"/>
              <w:bottom w:val="single" w:color="000000" w:sz="1"/>
              <w:right w:val="single" w:color="000000" w:sz="1"/>
            </w:tcBorders>
          </w:tcPr>
          <w:p>
            <w:pPr>
              <w:jc w:val="right"/>
            </w:pPr>
            <w:r>
              <w:rPr>
                <w:sz w:val="16"/>
                <w:szCs w:val="16"/>
              </w:rPr>
              <w:t xml:space="preserve">3.245,16 €</w:t>
            </w:r>
          </w:p>
        </w:tc>
        <w:tc>
          <w:tcPr>
            <w:tcBorders>
              <w:top w:val="single" w:color="000000" w:sz="1"/>
              <w:left w:val="single" w:color="000000" w:sz="1"/>
              <w:bottom w:val="single" w:color="000000" w:sz="1"/>
              <w:right w:val="single" w:color="000000" w:sz="1"/>
            </w:tcBorders>
          </w:tcPr>
          <w:p>
            <w:pPr>
              <w:jc w:val="right"/>
            </w:pPr>
            <w:r>
              <w:rPr>
                <w:sz w:val="16"/>
                <w:szCs w:val="16"/>
              </w:rPr>
              <w:t xml:space="preserve">407,91 %</w:t>
            </w:r>
          </w:p>
        </w:tc>
      </w:tr>
      <w:tr>
        <w:tc>
          <w:tcPr>
            <w:tcBorders>
              <w:top w:val="single" w:color="000000" w:sz="1"/>
              <w:left w:val="single" w:color="000000" w:sz="1"/>
              <w:bottom w:val="single" w:color="000000" w:sz="1"/>
              <w:right w:val="single" w:color="000000" w:sz="1"/>
            </w:tcBorders>
          </w:tcPr>
          <w:p>
            <w:pPr>
              <w:jc w:val="center"/>
            </w:pPr>
            <w:r>
              <w:rPr>
                <w:sz w:val="16"/>
                <w:szCs w:val="16"/>
              </w:rPr>
              <w:t xml:space="preserve">2</w:t>
            </w:r>
          </w:p>
        </w:tc>
        <w:tc>
          <w:tcPr>
            <w:tcBorders>
              <w:top w:val="single" w:color="000000" w:sz="1"/>
              <w:left w:val="single" w:color="000000" w:sz="1"/>
              <w:bottom w:val="single" w:color="000000" w:sz="1"/>
              <w:right w:val="single" w:color="000000" w:sz="1"/>
            </w:tcBorders>
          </w:tcPr>
          <w:p>
            <w:pPr>
              <w:jc w:val="left"/>
            </w:pPr>
            <w:r>
              <w:rPr>
                <w:sz w:val="16"/>
                <w:szCs w:val="16"/>
              </w:rPr>
              <w:t xml:space="preserve">EOS Deutscher Inkasso-Dienst GmbH</w:t>
            </w:r>
          </w:p>
        </w:tc>
        <w:tc>
          <w:tcPr>
            <w:tcBorders>
              <w:top w:val="single" w:color="000000" w:sz="1"/>
              <w:left w:val="single" w:color="000000" w:sz="1"/>
              <w:bottom w:val="single" w:color="000000" w:sz="1"/>
              <w:right w:val="single" w:color="000000" w:sz="1"/>
            </w:tcBorders>
          </w:tcPr>
          <w:p>
            <w:pPr>
              <w:jc w:val="right"/>
            </w:pPr>
            <w:r>
              <w:rPr>
                <w:sz w:val="16"/>
                <w:szCs w:val="16"/>
              </w:rPr>
              <w:t xml:space="preserve">792,06 €</w:t>
            </w:r>
          </w:p>
        </w:tc>
        <w:tc>
          <w:tcPr>
            <w:tcBorders>
              <w:top w:val="single" w:color="000000" w:sz="1"/>
              <w:left w:val="single" w:color="000000" w:sz="1"/>
              <w:bottom w:val="single" w:color="000000" w:sz="1"/>
              <w:right w:val="single" w:color="000000" w:sz="1"/>
            </w:tcBorders>
          </w:tcPr>
          <w:p>
            <w:pPr>
              <w:jc w:val="right"/>
            </w:pPr>
            <w:r>
              <w:rPr>
                <w:sz w:val="16"/>
                <w:szCs w:val="16"/>
              </w:rPr>
              <w:t xml:space="preserve">49,89 %</w:t>
            </w:r>
          </w:p>
        </w:tc>
        <w:tc>
          <w:tcPr>
            <w:tcBorders>
              <w:top w:val="single" w:color="000000" w:sz="1"/>
              <w:left w:val="single" w:color="000000" w:sz="1"/>
              <w:bottom w:val="single" w:color="000000" w:sz="1"/>
              <w:right w:val="single" w:color="000000" w:sz="1"/>
            </w:tcBorders>
          </w:tcPr>
          <w:p>
            <w:pPr>
              <w:jc w:val="right"/>
            </w:pPr>
            <w:r>
              <w:rPr>
                <w:sz w:val="16"/>
                <w:szCs w:val="16"/>
              </w:rPr>
              <w:t xml:space="preserve">89,75 €</w:t>
            </w:r>
          </w:p>
        </w:tc>
        <w:tc>
          <w:tcPr>
            <w:tcBorders>
              <w:top w:val="single" w:color="000000" w:sz="1"/>
              <w:left w:val="single" w:color="000000" w:sz="1"/>
              <w:bottom w:val="single" w:color="000000" w:sz="1"/>
              <w:right w:val="single" w:color="000000" w:sz="1"/>
            </w:tcBorders>
          </w:tcPr>
          <w:p>
            <w:pPr>
              <w:jc w:val="right"/>
            </w:pPr>
            <w:r>
              <w:rPr>
                <w:sz w:val="16"/>
                <w:szCs w:val="16"/>
              </w:rPr>
              <w:t xml:space="preserve">3.230,88 €</w:t>
            </w:r>
          </w:p>
        </w:tc>
        <w:tc>
          <w:tcPr>
            <w:tcBorders>
              <w:top w:val="single" w:color="000000" w:sz="1"/>
              <w:left w:val="single" w:color="000000" w:sz="1"/>
              <w:bottom w:val="single" w:color="000000" w:sz="1"/>
              <w:right w:val="single" w:color="000000" w:sz="1"/>
            </w:tcBorders>
          </w:tcPr>
          <w:p>
            <w:pPr>
              <w:jc w:val="right"/>
            </w:pPr>
            <w:r>
              <w:rPr>
                <w:sz w:val="16"/>
                <w:szCs w:val="16"/>
              </w:rPr>
              <w:t xml:space="preserve">407,91 %</w:t>
            </w:r>
          </w:p>
        </w:tc>
      </w:tr>
      <w:tr>
        <w:tc>
          <w:tcPr>
            <w:tcBorders>
              <w:top w:val="single" w:color="000000" w:sz="1"/>
              <w:left w:val="single" w:color="000000" w:sz="1"/>
              <w:bottom w:val="single" w:color="000000" w:sz="1"/>
              <w:right w:val="single" w:color="000000" w:sz="1"/>
            </w:tcBorders>
            <w:shd w:fill="E8E8E8"/>
          </w:tcPr>
          <w:p>
            <w:pPr>
              <w:jc w:val="center"/>
            </w:pPr>
            <w:r>
              <w:rPr>
                <w:sz w:val="16"/>
                <w:szCs w:val="16"/>
              </w:rPr>
              <w:t xml:space="preserve"/>
            </w:r>
          </w:p>
        </w:tc>
        <w:tc>
          <w:tcPr>
            <w:tcBorders>
              <w:top w:val="single" w:color="000000" w:sz="1"/>
              <w:left w:val="single" w:color="000000" w:sz="1"/>
              <w:bottom w:val="single" w:color="000000" w:sz="1"/>
              <w:right w:val="single" w:color="000000" w:sz="1"/>
            </w:tcBorders>
            <w:shd w:fill="E8E8E8"/>
          </w:tcPr>
          <w:p>
            <w:pPr>
              <w:jc w:val="left"/>
            </w:pPr>
            <w:r>
              <w:rPr>
                <w:b/>
                <w:bCs/>
                <w:sz w:val="16"/>
                <w:szCs w:val="16"/>
              </w:rPr>
              <w:t xml:space="preserve">Summe</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1.587,62 €</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100,00%</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179,89 €</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6.476,04 €</w:t>
            </w:r>
          </w:p>
        </w:tc>
        <w:tc>
          <w:tcPr>
            <w:tcBorders>
              <w:top w:val="single" w:color="000000" w:sz="1"/>
              <w:left w:val="single" w:color="000000" w:sz="1"/>
              <w:bottom w:val="single" w:color="000000" w:sz="1"/>
              <w:right w:val="single" w:color="000000" w:sz="1"/>
            </w:tcBorders>
            <w:shd w:fill="E8E8E8"/>
          </w:tcPr>
          <w:p>
            <w:pPr>
              <w:jc w:val="right"/>
            </w:pPr>
            <w:r>
              <w:rPr>
                <w:b/>
                <w:bCs/>
                <w:sz w:val="16"/>
                <w:szCs w:val="16"/>
              </w:rPr>
              <w:t xml:space="preserve">407,91 %</w:t>
            </w:r>
          </w:p>
        </w:tc>
      </w:tr>
    </w:tbl>
    <w:p>
      <w:pPr>
        <w:spacing w:after="400"/>
      </w:pPr>
      <w:r>
        <w:t xml:space="preserve"/>
      </w:r>
    </w:p>
    <w:p>
      <w:pPr>
        <w:spacing w:after="600"/>
        <w:ind w:left="5500" w:right="200"/>
        <w:jc w:val="both"/>
      </w:pPr>
      <w:r>
        <w:rPr>
          <w:sz w:val="18"/>
          <w:szCs w:val="18"/>
        </w:rPr>
        <w:t xml:space="preserve">Aufgrund schwankender Einkünfte oder mangels pfändbarem Einkommen wird nur die Quote angeboten. Die pfändbaren Beträge werden nach der Quote von Monat zu Monat neu errechnet. Die Verteilung der Zahlungen an die Gläubiger erfolgt einmal jährlich. Die Bedingungen in der Anlage sind Bestandteil dieses Plans.</w:t>
      </w:r>
    </w:p>
    <w:p>
      <w:pPr>
        <w:spacing w:after="200"/>
      </w:pPr>
      <w:r>
        <w:rPr>
          <w:b/>
          <w:bCs/>
          <w:sz w:val="18"/>
          <w:szCs w:val="18"/>
        </w:rPr>
        <w:t xml:space="preserve">
Gesamtsumme aller Forderungen: 1.587,62 €</w:t>
      </w:r>
    </w:p>
    <w:p>
      <w:pPr>
        <w:spacing w:after="200"/>
      </w:pPr>
      <w:r>
        <w:rPr>
          <w:b/>
          <w:bCs/>
          <w:sz w:val="18"/>
          <w:szCs w:val="18"/>
        </w:rPr>
        <w:t xml:space="preserve">Monatliche Zahlungsrate: 179,89 €</w:t>
      </w:r>
    </w:p>
    <w:p>
      <w:pPr>
        <w:spacing w:after="200"/>
      </w:pPr>
      <w:r>
        <w:rPr>
          <w:b/>
          <w:bCs/>
          <w:sz w:val="18"/>
          <w:szCs w:val="18"/>
        </w:rPr>
        <w:t xml:space="preserve">Gesamte Zahlungssumme über 36 Monate: 0,00 €</w:t>
      </w:r>
    </w:p>
    <w:p>
      <w:pPr>
        <w:spacing w:after="600"/>
      </w:pPr>
      <w:r>
        <w:rPr>
          <w:b/>
          <w:bCs/>
          <w:sz w:val="18"/>
          <w:szCs w:val="18"/>
        </w:rPr>
        <w:t xml:space="preserve">Durchschnittliche Quote: 32.57%</w:t>
      </w:r>
    </w:p>
    <w:p>
      <w:pPr>
        <w:spacing w:before="800"/>
        <w:jc w:val="center"/>
      </w:pPr>
      <w:r>
        <w:rPr>
          <w:i/>
          <w:iCs/>
          <w:sz w:val="18"/>
          <w:szCs w:val="18"/>
        </w:rPr>
        <w:t xml:space="preserve">
Erstellt von Thomas Scuric Rechtsanwälte</w:t>
      </w:r>
    </w:p>
    <w:p>
      <w:pPr>
        <w:spacing w:after="200"/>
        <w:jc w:val="center"/>
      </w:pPr>
      <w:r>
        <w:rPr>
          <w:i/>
          <w:iCs/>
          <w:sz w:val="18"/>
          <w:szCs w:val="18"/>
        </w:rPr>
        <w:t xml:space="preserve">Datum: 06.10.2025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Außergerichtlicher Schuldenbereinigungsplan</dc:title>
  <dc:creator>Thomas Scuric Rechtsanwälte</dc:creator>
  <cp:lastModifiedBy>Un-named</cp:lastModifiedBy>
  <cp:revision>1</cp:revision>
  <dcterms:created xsi:type="dcterms:W3CDTF">2025-10-06T12:22:51.406Z</dcterms:created>
  <dcterms:modified xsi:type="dcterms:W3CDTF">2025-10-06T12:22:51.406Z</dcterms:modified>
</cp:coreProperties>
</file>

<file path=docProps/custom.xml><?xml version="1.0" encoding="utf-8"?>
<Properties xmlns="http://schemas.openxmlformats.org/officeDocument/2006/custom-properties" xmlns:vt="http://schemas.openxmlformats.org/officeDocument/2006/docPropsVTypes"/>
</file>