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26"/>
          <w:szCs w:val="26"/>
        </w:rPr>
        <w:t xml:space="preserve">Außergerichtlicher Schuldenbereinigungsplan vom 02.10.2025</w:t>
      </w:r>
    </w:p>
    <w:p>
      <w:pPr>
        <w:spacing w:after="400"/>
      </w:pPr>
      <w:r>
        <w:rPr>
          <w:b/>
          <w:bCs/>
          <w:sz w:val="20"/>
          <w:szCs w:val="20"/>
        </w:rPr>
        <w:t xml:space="preserve">Schuldner/-in:</w:t>
      </w:r>
      <w:r>
        <w:rPr>
          <w:sz w:val="20"/>
          <w:szCs w:val="20"/>
        </w:rPr>
        <w:t xml:space="preserve">     Thomas Schmidt</w:t>
      </w:r>
    </w:p>
    <w:p>
      <w:pPr>
        <w:spacing w:after="400"/>
      </w:pPr>
      <w:r>
        <w:rPr>
          <w:b/>
          <w:bCs/>
          <w:sz w:val="20"/>
          <w:szCs w:val="20"/>
        </w:rPr>
        <w:t xml:space="preserve">Quotenplan</w:t>
      </w:r>
      <w:r>
        <w:rPr>
          <w:sz w:val="20"/>
          <w:szCs w:val="20"/>
        </w:rPr>
        <w:t xml:space="preserve">                              Laufzeit: 36 Monate</w:t>
      </w:r>
    </w:p>
    <w:p>
      <w:pPr>
        <w:spacing w:after="600"/>
      </w:pPr>
      <w:r>
        <w:rPr>
          <w:sz w:val="20"/>
          <w:szCs w:val="20"/>
        </w:rPr>
        <w:t xml:space="preserve">Beginn des Zahlungsplans</w:t>
      </w:r>
      <w:r>
        <w:rPr>
          <w:sz w:val="20"/>
          <w:szCs w:val="20"/>
          <w:u w:val="single"/>
        </w:rPr>
        <w:t xml:space="preserve">          1.11.2025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gridCol w:w="100"/>
        <w:gridCol w:w="100"/>
        <w:gridCol w:w="100"/>
      </w:tblGrid>
      <w:tr>
        <w:tc>
          <w:tcPr>
            <w:tcW w:type="pct" w:w="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Nr.</w:t>
            </w:r>
          </w:p>
        </w:tc>
        <w:tc>
          <w:tcPr>
            <w:tcW w:type="pct" w:w="2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Gläubiger</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Forderung</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Quote von Gesamtverschuldung</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mtl.</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Gesamthöhe des Tilgungsangebots</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Regulierungsquote</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1</w:t>
            </w:r>
          </w:p>
        </w:tc>
        <w:tc>
          <w:tcPr>
            <w:tcBorders>
              <w:top w:val="single" w:color="000000" w:sz="1"/>
              <w:left w:val="single" w:color="000000" w:sz="1"/>
              <w:bottom w:val="single" w:color="000000" w:sz="1"/>
              <w:right w:val="single" w:color="000000" w:sz="1"/>
            </w:tcBorders>
          </w:tcPr>
          <w:p>
            <w:pPr>
              <w:jc w:val="left"/>
            </w:pPr>
            <w:r>
              <w:rPr>
                <w:sz w:val="16"/>
                <w:szCs w:val="16"/>
              </w:rPr>
              <w:t xml:space="preserve">Unknown</w:t>
            </w:r>
          </w:p>
        </w:tc>
        <w:tc>
          <w:tcPr>
            <w:tcBorders>
              <w:top w:val="single" w:color="000000" w:sz="1"/>
              <w:left w:val="single" w:color="000000" w:sz="1"/>
              <w:bottom w:val="single" w:color="000000" w:sz="1"/>
              <w:right w:val="single" w:color="000000" w:sz="1"/>
            </w:tcBorders>
          </w:tcPr>
          <w:p>
            <w:pPr>
              <w:jc w:val="right"/>
            </w:pPr>
            <w:r>
              <w:rPr>
                <w:sz w:val="16"/>
                <w:szCs w:val="16"/>
              </w:rPr>
              <w:t xml:space="preserve">8.500,00 €</w:t>
            </w:r>
          </w:p>
        </w:tc>
        <w:tc>
          <w:tcPr>
            <w:tcBorders>
              <w:top w:val="single" w:color="000000" w:sz="1"/>
              <w:left w:val="single" w:color="000000" w:sz="1"/>
              <w:bottom w:val="single" w:color="000000" w:sz="1"/>
              <w:right w:val="single" w:color="000000" w:sz="1"/>
            </w:tcBorders>
          </w:tcPr>
          <w:p>
            <w:pPr>
              <w:jc w:val="right"/>
            </w:pPr>
            <w:r>
              <w:rPr>
                <w:sz w:val="16"/>
                <w:szCs w:val="16"/>
              </w:rPr>
              <w:t xml:space="preserve">60,76 %</w:t>
            </w:r>
          </w:p>
        </w:tc>
        <w:tc>
          <w:tcPr>
            <w:tcBorders>
              <w:top w:val="single" w:color="000000" w:sz="1"/>
              <w:left w:val="single" w:color="000000" w:sz="1"/>
              <w:bottom w:val="single" w:color="000000" w:sz="1"/>
              <w:right w:val="single" w:color="000000" w:sz="1"/>
            </w:tcBorders>
          </w:tcPr>
          <w:p>
            <w:pPr>
              <w:jc w:val="right"/>
            </w:pPr>
            <w:r>
              <w:rPr>
                <w:sz w:val="16"/>
                <w:szCs w:val="16"/>
              </w:rPr>
              <w:t xml:space="preserve">149,34 €</w:t>
            </w:r>
          </w:p>
        </w:tc>
        <w:tc>
          <w:tcPr>
            <w:tcBorders>
              <w:top w:val="single" w:color="000000" w:sz="1"/>
              <w:left w:val="single" w:color="000000" w:sz="1"/>
              <w:bottom w:val="single" w:color="000000" w:sz="1"/>
              <w:right w:val="single" w:color="000000" w:sz="1"/>
            </w:tcBorders>
          </w:tcPr>
          <w:p>
            <w:pPr>
              <w:jc w:val="right"/>
            </w:pPr>
            <w:r>
              <w:rPr>
                <w:sz w:val="16"/>
                <w:szCs w:val="16"/>
              </w:rPr>
              <w:t xml:space="preserve">5.376,33 €</w:t>
            </w:r>
          </w:p>
        </w:tc>
        <w:tc>
          <w:tcPr>
            <w:tcBorders>
              <w:top w:val="single" w:color="000000" w:sz="1"/>
              <w:left w:val="single" w:color="000000" w:sz="1"/>
              <w:bottom w:val="single" w:color="000000" w:sz="1"/>
              <w:right w:val="single" w:color="000000" w:sz="1"/>
            </w:tcBorders>
          </w:tcPr>
          <w:p>
            <w:pPr>
              <w:jc w:val="right"/>
            </w:pPr>
            <w:r>
              <w:rPr>
                <w:sz w:val="16"/>
                <w:szCs w:val="16"/>
              </w:rPr>
              <w:t xml:space="preserve">63,25 %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2</w:t>
            </w:r>
          </w:p>
        </w:tc>
        <w:tc>
          <w:tcPr>
            <w:tcBorders>
              <w:top w:val="single" w:color="000000" w:sz="1"/>
              <w:left w:val="single" w:color="000000" w:sz="1"/>
              <w:bottom w:val="single" w:color="000000" w:sz="1"/>
              <w:right w:val="single" w:color="000000" w:sz="1"/>
            </w:tcBorders>
          </w:tcPr>
          <w:p>
            <w:pPr>
              <w:jc w:val="left"/>
            </w:pPr>
            <w:r>
              <w:rPr>
                <w:sz w:val="16"/>
                <w:szCs w:val="16"/>
              </w:rPr>
              <w:t xml:space="preserve">Unknown</w:t>
            </w:r>
          </w:p>
        </w:tc>
        <w:tc>
          <w:tcPr>
            <w:tcBorders>
              <w:top w:val="single" w:color="000000" w:sz="1"/>
              <w:left w:val="single" w:color="000000" w:sz="1"/>
              <w:bottom w:val="single" w:color="000000" w:sz="1"/>
              <w:right w:val="single" w:color="000000" w:sz="1"/>
            </w:tcBorders>
          </w:tcPr>
          <w:p>
            <w:pPr>
              <w:jc w:val="right"/>
            </w:pPr>
            <w:r>
              <w:rPr>
                <w:sz w:val="16"/>
                <w:szCs w:val="16"/>
              </w:rPr>
              <w:t xml:space="preserve">1.200,00 €</w:t>
            </w:r>
          </w:p>
        </w:tc>
        <w:tc>
          <w:tcPr>
            <w:tcBorders>
              <w:top w:val="single" w:color="000000" w:sz="1"/>
              <w:left w:val="single" w:color="000000" w:sz="1"/>
              <w:bottom w:val="single" w:color="000000" w:sz="1"/>
              <w:right w:val="single" w:color="000000" w:sz="1"/>
            </w:tcBorders>
          </w:tcPr>
          <w:p>
            <w:pPr>
              <w:jc w:val="right"/>
            </w:pPr>
            <w:r>
              <w:rPr>
                <w:sz w:val="16"/>
                <w:szCs w:val="16"/>
              </w:rPr>
              <w:t xml:space="preserve">8,58 %</w:t>
            </w:r>
          </w:p>
        </w:tc>
        <w:tc>
          <w:tcPr>
            <w:tcBorders>
              <w:top w:val="single" w:color="000000" w:sz="1"/>
              <w:left w:val="single" w:color="000000" w:sz="1"/>
              <w:bottom w:val="single" w:color="000000" w:sz="1"/>
              <w:right w:val="single" w:color="000000" w:sz="1"/>
            </w:tcBorders>
          </w:tcPr>
          <w:p>
            <w:pPr>
              <w:jc w:val="right"/>
            </w:pPr>
            <w:r>
              <w:rPr>
                <w:sz w:val="16"/>
                <w:szCs w:val="16"/>
              </w:rPr>
              <w:t xml:space="preserve">21,08 €</w:t>
            </w:r>
          </w:p>
        </w:tc>
        <w:tc>
          <w:tcPr>
            <w:tcBorders>
              <w:top w:val="single" w:color="000000" w:sz="1"/>
              <w:left w:val="single" w:color="000000" w:sz="1"/>
              <w:bottom w:val="single" w:color="000000" w:sz="1"/>
              <w:right w:val="single" w:color="000000" w:sz="1"/>
            </w:tcBorders>
          </w:tcPr>
          <w:p>
            <w:pPr>
              <w:jc w:val="right"/>
            </w:pPr>
            <w:r>
              <w:rPr>
                <w:sz w:val="16"/>
                <w:szCs w:val="16"/>
              </w:rPr>
              <w:t xml:space="preserve">759,01 €</w:t>
            </w:r>
          </w:p>
        </w:tc>
        <w:tc>
          <w:tcPr>
            <w:tcBorders>
              <w:top w:val="single" w:color="000000" w:sz="1"/>
              <w:left w:val="single" w:color="000000" w:sz="1"/>
              <w:bottom w:val="single" w:color="000000" w:sz="1"/>
              <w:right w:val="single" w:color="000000" w:sz="1"/>
            </w:tcBorders>
          </w:tcPr>
          <w:p>
            <w:pPr>
              <w:jc w:val="right"/>
            </w:pPr>
            <w:r>
              <w:rPr>
                <w:sz w:val="16"/>
                <w:szCs w:val="16"/>
              </w:rPr>
              <w:t xml:space="preserve">63,25 %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3</w:t>
            </w:r>
          </w:p>
        </w:tc>
        <w:tc>
          <w:tcPr>
            <w:tcBorders>
              <w:top w:val="single" w:color="000000" w:sz="1"/>
              <w:left w:val="single" w:color="000000" w:sz="1"/>
              <w:bottom w:val="single" w:color="000000" w:sz="1"/>
              <w:right w:val="single" w:color="000000" w:sz="1"/>
            </w:tcBorders>
          </w:tcPr>
          <w:p>
            <w:pPr>
              <w:jc w:val="left"/>
            </w:pPr>
            <w:r>
              <w:rPr>
                <w:sz w:val="16"/>
                <w:szCs w:val="16"/>
              </w:rPr>
              <w:t xml:space="preserve">Unknown</w:t>
            </w:r>
          </w:p>
        </w:tc>
        <w:tc>
          <w:tcPr>
            <w:tcBorders>
              <w:top w:val="single" w:color="000000" w:sz="1"/>
              <w:left w:val="single" w:color="000000" w:sz="1"/>
              <w:bottom w:val="single" w:color="000000" w:sz="1"/>
              <w:right w:val="single" w:color="000000" w:sz="1"/>
            </w:tcBorders>
          </w:tcPr>
          <w:p>
            <w:pPr>
              <w:jc w:val="right"/>
            </w:pPr>
            <w:r>
              <w:rPr>
                <w:sz w:val="16"/>
                <w:szCs w:val="16"/>
              </w:rPr>
              <w:t xml:space="preserve">3.400,00 €</w:t>
            </w:r>
          </w:p>
        </w:tc>
        <w:tc>
          <w:tcPr>
            <w:tcBorders>
              <w:top w:val="single" w:color="000000" w:sz="1"/>
              <w:left w:val="single" w:color="000000" w:sz="1"/>
              <w:bottom w:val="single" w:color="000000" w:sz="1"/>
              <w:right w:val="single" w:color="000000" w:sz="1"/>
            </w:tcBorders>
          </w:tcPr>
          <w:p>
            <w:pPr>
              <w:jc w:val="right"/>
            </w:pPr>
            <w:r>
              <w:rPr>
                <w:sz w:val="16"/>
                <w:szCs w:val="16"/>
              </w:rPr>
              <w:t xml:space="preserve">24,30 %</w:t>
            </w:r>
          </w:p>
        </w:tc>
        <w:tc>
          <w:tcPr>
            <w:tcBorders>
              <w:top w:val="single" w:color="000000" w:sz="1"/>
              <w:left w:val="single" w:color="000000" w:sz="1"/>
              <w:bottom w:val="single" w:color="000000" w:sz="1"/>
              <w:right w:val="single" w:color="000000" w:sz="1"/>
            </w:tcBorders>
          </w:tcPr>
          <w:p>
            <w:pPr>
              <w:jc w:val="right"/>
            </w:pPr>
            <w:r>
              <w:rPr>
                <w:sz w:val="16"/>
                <w:szCs w:val="16"/>
              </w:rPr>
              <w:t xml:space="preserve">59,74 €</w:t>
            </w:r>
          </w:p>
        </w:tc>
        <w:tc>
          <w:tcPr>
            <w:tcBorders>
              <w:top w:val="single" w:color="000000" w:sz="1"/>
              <w:left w:val="single" w:color="000000" w:sz="1"/>
              <w:bottom w:val="single" w:color="000000" w:sz="1"/>
              <w:right w:val="single" w:color="000000" w:sz="1"/>
            </w:tcBorders>
          </w:tcPr>
          <w:p>
            <w:pPr>
              <w:jc w:val="right"/>
            </w:pPr>
            <w:r>
              <w:rPr>
                <w:sz w:val="16"/>
                <w:szCs w:val="16"/>
              </w:rPr>
              <w:t xml:space="preserve">2.150,53 €</w:t>
            </w:r>
          </w:p>
        </w:tc>
        <w:tc>
          <w:tcPr>
            <w:tcBorders>
              <w:top w:val="single" w:color="000000" w:sz="1"/>
              <w:left w:val="single" w:color="000000" w:sz="1"/>
              <w:bottom w:val="single" w:color="000000" w:sz="1"/>
              <w:right w:val="single" w:color="000000" w:sz="1"/>
            </w:tcBorders>
          </w:tcPr>
          <w:p>
            <w:pPr>
              <w:jc w:val="right"/>
            </w:pPr>
            <w:r>
              <w:rPr>
                <w:sz w:val="16"/>
                <w:szCs w:val="16"/>
              </w:rPr>
              <w:t xml:space="preserve">63,25 %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4</w:t>
            </w:r>
          </w:p>
        </w:tc>
        <w:tc>
          <w:tcPr>
            <w:tcBorders>
              <w:top w:val="single" w:color="000000" w:sz="1"/>
              <w:left w:val="single" w:color="000000" w:sz="1"/>
              <w:bottom w:val="single" w:color="000000" w:sz="1"/>
              <w:right w:val="single" w:color="000000" w:sz="1"/>
            </w:tcBorders>
          </w:tcPr>
          <w:p>
            <w:pPr>
              <w:jc w:val="left"/>
            </w:pPr>
            <w:r>
              <w:rPr>
                <w:sz w:val="16"/>
                <w:szCs w:val="16"/>
              </w:rPr>
              <w:t xml:space="preserve">Unknown</w:t>
            </w:r>
          </w:p>
        </w:tc>
        <w:tc>
          <w:tcPr>
            <w:tcBorders>
              <w:top w:val="single" w:color="000000" w:sz="1"/>
              <w:left w:val="single" w:color="000000" w:sz="1"/>
              <w:bottom w:val="single" w:color="000000" w:sz="1"/>
              <w:right w:val="single" w:color="000000" w:sz="1"/>
            </w:tcBorders>
          </w:tcPr>
          <w:p>
            <w:pPr>
              <w:jc w:val="right"/>
            </w:pPr>
            <w:r>
              <w:rPr>
                <w:sz w:val="16"/>
                <w:szCs w:val="16"/>
              </w:rPr>
              <w:t xml:space="preserve">890,00 €</w:t>
            </w:r>
          </w:p>
        </w:tc>
        <w:tc>
          <w:tcPr>
            <w:tcBorders>
              <w:top w:val="single" w:color="000000" w:sz="1"/>
              <w:left w:val="single" w:color="000000" w:sz="1"/>
              <w:bottom w:val="single" w:color="000000" w:sz="1"/>
              <w:right w:val="single" w:color="000000" w:sz="1"/>
            </w:tcBorders>
          </w:tcPr>
          <w:p>
            <w:pPr>
              <w:jc w:val="right"/>
            </w:pPr>
            <w:r>
              <w:rPr>
                <w:sz w:val="16"/>
                <w:szCs w:val="16"/>
              </w:rPr>
              <w:t xml:space="preserve">6,36 %</w:t>
            </w:r>
          </w:p>
        </w:tc>
        <w:tc>
          <w:tcPr>
            <w:tcBorders>
              <w:top w:val="single" w:color="000000" w:sz="1"/>
              <w:left w:val="single" w:color="000000" w:sz="1"/>
              <w:bottom w:val="single" w:color="000000" w:sz="1"/>
              <w:right w:val="single" w:color="000000" w:sz="1"/>
            </w:tcBorders>
          </w:tcPr>
          <w:p>
            <w:pPr>
              <w:jc w:val="right"/>
            </w:pPr>
            <w:r>
              <w:rPr>
                <w:sz w:val="16"/>
                <w:szCs w:val="16"/>
              </w:rPr>
              <w:t xml:space="preserve">15,64 €</w:t>
            </w:r>
          </w:p>
        </w:tc>
        <w:tc>
          <w:tcPr>
            <w:tcBorders>
              <w:top w:val="single" w:color="000000" w:sz="1"/>
              <w:left w:val="single" w:color="000000" w:sz="1"/>
              <w:bottom w:val="single" w:color="000000" w:sz="1"/>
              <w:right w:val="single" w:color="000000" w:sz="1"/>
            </w:tcBorders>
          </w:tcPr>
          <w:p>
            <w:pPr>
              <w:jc w:val="right"/>
            </w:pPr>
            <w:r>
              <w:rPr>
                <w:sz w:val="16"/>
                <w:szCs w:val="16"/>
              </w:rPr>
              <w:t xml:space="preserve">562,93 €</w:t>
            </w:r>
          </w:p>
        </w:tc>
        <w:tc>
          <w:tcPr>
            <w:tcBorders>
              <w:top w:val="single" w:color="000000" w:sz="1"/>
              <w:left w:val="single" w:color="000000" w:sz="1"/>
              <w:bottom w:val="single" w:color="000000" w:sz="1"/>
              <w:right w:val="single" w:color="000000" w:sz="1"/>
            </w:tcBorders>
          </w:tcPr>
          <w:p>
            <w:pPr>
              <w:jc w:val="right"/>
            </w:pPr>
            <w:r>
              <w:rPr>
                <w:sz w:val="16"/>
                <w:szCs w:val="16"/>
              </w:rPr>
              <w:t xml:space="preserve">63,25 %</w:t>
            </w:r>
          </w:p>
        </w:tc>
      </w:tr>
      <w:tr>
        <w:tc>
          <w:tcPr>
            <w:tcBorders>
              <w:top w:val="single" w:color="000000" w:sz="1"/>
              <w:left w:val="single" w:color="000000" w:sz="1"/>
              <w:bottom w:val="single" w:color="000000" w:sz="1"/>
              <w:right w:val="single" w:color="000000" w:sz="1"/>
            </w:tcBorders>
            <w:shd w:fill="E8E8E8"/>
          </w:tcPr>
          <w:p>
            <w:pPr>
              <w:jc w:val="center"/>
            </w:pPr>
            <w:r>
              <w:rPr>
                <w:sz w:val="16"/>
                <w:szCs w:val="16"/>
              </w:rPr>
              <w:t xml:space="preserve"/>
            </w:r>
          </w:p>
        </w:tc>
        <w:tc>
          <w:tcPr>
            <w:tcBorders>
              <w:top w:val="single" w:color="000000" w:sz="1"/>
              <w:left w:val="single" w:color="000000" w:sz="1"/>
              <w:bottom w:val="single" w:color="000000" w:sz="1"/>
              <w:right w:val="single" w:color="000000" w:sz="1"/>
            </w:tcBorders>
            <w:shd w:fill="E8E8E8"/>
          </w:tcPr>
          <w:p>
            <w:pPr>
              <w:jc w:val="left"/>
            </w:pPr>
            <w:r>
              <w:rPr>
                <w:b/>
                <w:bCs/>
                <w:sz w:val="16"/>
                <w:szCs w:val="16"/>
              </w:rPr>
              <w:t xml:space="preserve">Summe</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13.990,00 €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100,00%</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245,80 €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8.848,80 €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63,25 %</w:t>
            </w:r>
          </w:p>
        </w:tc>
      </w:tr>
    </w:tbl>
    <w:p>
      <w:pPr>
        <w:spacing w:after="400"/>
      </w:pPr>
      <w:r>
        <w:t xml:space="preserve"/>
      </w:r>
    </w:p>
    <w:p>
      <w:pPr>
        <w:spacing w:after="600"/>
        <w:ind w:left="5500" w:right="200"/>
        <w:jc w:val="both"/>
      </w:pPr>
      <w:r>
        <w:rPr>
          <w:sz w:val="18"/>
          <w:szCs w:val="18"/>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18"/>
          <w:szCs w:val="18"/>
        </w:rPr>
        <w:t xml:space="preserve">
Gesamtsumme aller Forderungen: 13.990,00 €</w:t>
      </w:r>
    </w:p>
    <w:p>
      <w:pPr>
        <w:spacing w:after="200"/>
      </w:pPr>
      <w:r>
        <w:rPr>
          <w:b/>
          <w:bCs/>
          <w:sz w:val="18"/>
          <w:szCs w:val="18"/>
        </w:rPr>
        <w:t xml:space="preserve">Monatliche Zahlungsrate: 245,80 €</w:t>
      </w:r>
    </w:p>
    <w:p>
      <w:pPr>
        <w:spacing w:after="200"/>
      </w:pPr>
      <w:r>
        <w:rPr>
          <w:b/>
          <w:bCs/>
          <w:sz w:val="18"/>
          <w:szCs w:val="18"/>
        </w:rPr>
        <w:t xml:space="preserve">Gesamte Zahlungssumme über 36 Monate: 0,00 €</w:t>
      </w:r>
    </w:p>
    <w:p>
      <w:pPr>
        <w:spacing w:after="600"/>
      </w:pPr>
      <w:r>
        <w:rPr>
          <w:b/>
          <w:bCs/>
          <w:sz w:val="18"/>
          <w:szCs w:val="18"/>
        </w:rPr>
        <w:t xml:space="preserve">Durchschnittliche Quote: 32.57%</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02.10.2025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2025-10-02T16:03:43.989Z</dcterms:created>
  <dcterms:modified xsi:type="dcterms:W3CDTF">2025-10-02T16:03:43.989Z</dcterms:modified>
</cp:coreProperties>
</file>

<file path=docProps/custom.xml><?xml version="1.0" encoding="utf-8"?>
<Properties xmlns="http://schemas.openxmlformats.org/officeDocument/2006/custom-properties" xmlns:vt="http://schemas.openxmlformats.org/officeDocument/2006/docPropsVTypes"/>
</file>