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400"/>
      </w:pPr>
      <w:r>
        <w:rPr>
          <w:b/>
          <w:bCs/>
          <w:sz w:val="24"/>
          <w:szCs w:val="24"/>
        </w:rPr>
        <w:t xml:space="preserve">Außergerichtlicher Schuldenbereinigungsplan vom     04.09.2025</w:t>
      </w:r>
    </w:p>
    <w:p>
      <w:pPr>
        <w:spacing w:after="400"/>
      </w:pPr>
      <w:r>
        <w:rPr>
          <w:b/>
          <w:bCs/>
          <w:sz w:val="22"/>
          <w:szCs w:val="22"/>
        </w:rPr>
        <w:t xml:space="preserve">Schuldner/-in:</w:t>
      </w:r>
      <w:r>
        <w:rPr>
          <w:sz w:val="22"/>
          <w:szCs w:val="22"/>
        </w:rPr>
        <w:t xml:space="preserve">          Anke Laux</w:t>
      </w:r>
    </w:p>
    <w:p>
      <w:pPr>
        <w:spacing w:after="600"/>
      </w:pPr>
      <w:r>
        <w:rPr>
          <w:b/>
          <w:bCs/>
          <w:sz w:val="22"/>
          <w:szCs w:val="22"/>
        </w:rPr>
        <w:t xml:space="preserve">Quotenplan</w:t>
      </w:r>
      <w:r>
        <w:rPr>
          <w:sz w:val="22"/>
          <w:szCs w:val="22"/>
        </w:rPr>
        <w:t xml:space="preserve">                    Laufzeit: 36 Monate</w:t>
      </w:r>
    </w:p>
    <w:p>
      <w:pPr>
        <w:spacing w:after="600"/>
      </w:pPr>
      <w:r>
        <w:rPr>
          <w:sz w:val="22"/>
          <w:szCs w:val="22"/>
        </w:rPr>
        <w:t xml:space="preserve">Beginn des Zahlungsplans</w:t>
      </w:r>
      <w:r>
        <w:rPr>
          <w:sz w:val="22"/>
          <w:szCs w:val="22"/>
          <w:u w:val="single"/>
        </w:rPr>
        <w:t xml:space="preserve">          1.10.2025</w:t>
      </w:r>
    </w:p>
    <w:tbl>
      <w:tblPr>
        <w:tblW w:type="pct" w:w="100%"/>
        <w:tblBorders>
          <w:top w:val="single" w:sz="1"/>
          <w:left w:val="single" w:sz="1"/>
          <w:bottom w:val="single" w:sz="1"/>
          <w:right w:val="single" w:sz="1"/>
          <w:insideH w:val="single" w:sz="1"/>
          <w:insideV w:val="single" w:sz="1"/>
        </w:tblBorders>
      </w:tblPr>
      <w:tblGrid>
        <w:gridCol w:w="100"/>
        <w:gridCol w:w="100"/>
        <w:gridCol w:w="100"/>
        <w:gridCol w:w="100"/>
      </w:tblGrid>
      <w:tr>
        <w:tc>
          <w:tcPr>
            <w:tcW w:type="pct" w:w="8%"/>
            <w:shd w:fill="D9D9FF"/>
          </w:tcPr>
          <w:p>
            <w:pPr>
              <w:jc w:val="center"/>
            </w:pPr>
            <w:r>
              <w:rPr>
                <w:b/>
                <w:bCs/>
                <w:sz w:val="20"/>
                <w:szCs w:val="20"/>
              </w:rPr>
              <w:t xml:space="preserve">Nr.</w:t>
            </w:r>
          </w:p>
        </w:tc>
        <w:tc>
          <w:tcPr>
            <w:tcW w:type="pct" w:w="40%"/>
            <w:shd w:fill="D9D9FF"/>
          </w:tcPr>
          <w:p>
            <w:pPr>
              <w:jc w:val="center"/>
            </w:pPr>
            <w:r>
              <w:rPr>
                <w:b/>
                <w:bCs/>
                <w:sz w:val="20"/>
                <w:szCs w:val="20"/>
              </w:rPr>
              <w:t xml:space="preserve">Gläubiger</w:t>
            </w:r>
          </w:p>
        </w:tc>
        <w:tc>
          <w:tcPr>
            <w:tcW w:type="pct" w:w="26%"/>
            <w:shd w:fill="D9D9FF"/>
          </w:tcPr>
          <w:p>
            <w:pPr>
              <w:jc w:val="center"/>
            </w:pPr>
            <w:r>
              <w:rPr>
                <w:b/>
                <w:bCs/>
                <w:sz w:val="20"/>
                <w:szCs w:val="20"/>
              </w:rPr>
              <w:t xml:space="preserve">Forderung</w:t>
            </w:r>
          </w:p>
        </w:tc>
        <w:tc>
          <w:tcPr>
            <w:tcW w:type="pct" w:w="26%"/>
            <w:shd w:fill="D9D9FF"/>
          </w:tcPr>
          <w:p>
            <w:pPr>
              <w:jc w:val="center"/>
            </w:pPr>
            <w:r>
              <w:rPr>
                <w:b/>
                <w:bCs/>
                <w:sz w:val="20"/>
                <w:szCs w:val="20"/>
              </w:rPr>
              <w:t xml:space="preserve">Quote von Gesamtverschuldung</w:t>
            </w:r>
          </w:p>
        </w:tc>
      </w:tr>
      <w:tr>
        <w:tc>
          <w:tcPr>
            <w:tcW w:type="pct" w:w="8%"/>
          </w:tcPr>
          <w:p>
            <w:pPr>
              <w:jc w:val="center"/>
            </w:pPr>
            <w:r>
              <w:rPr>
                <w:sz w:val="20"/>
                <w:szCs w:val="20"/>
              </w:rPr>
              <w:t xml:space="preserve">1</w:t>
            </w:r>
          </w:p>
        </w:tc>
        <w:tc>
          <w:tcPr>
            <w:tcW w:type="pct" w:w="40%"/>
          </w:tcPr>
          <w:p>
            <w:pPr>
              <w:jc w:val="left"/>
            </w:pPr>
            <w:r>
              <w:rPr>
                <w:sz w:val="20"/>
                <w:szCs w:val="20"/>
              </w:rPr>
              <w:t xml:space="preserve">Telekom Deutschland GmbH</w:t>
            </w:r>
          </w:p>
        </w:tc>
        <w:tc>
          <w:tcPr>
            <w:tcW w:type="pct" w:w="26%"/>
          </w:tcPr>
          <w:p>
            <w:pPr>
              <w:jc w:val="right"/>
            </w:pPr>
            <w:r>
              <w:rPr>
                <w:sz w:val="20"/>
                <w:szCs w:val="20"/>
              </w:rPr>
              <w:t xml:space="preserve">1.587,13 €</w:t>
            </w:r>
          </w:p>
        </w:tc>
        <w:tc>
          <w:tcPr>
            <w:tcW w:type="pct" w:w="26%"/>
          </w:tcPr>
          <w:p>
            <w:pPr>
              <w:jc w:val="right"/>
            </w:pPr>
            <w:r>
              <w:rPr>
                <w:sz w:val="20"/>
                <w:szCs w:val="20"/>
              </w:rPr>
              <w:t xml:space="preserve">6.12%</w:t>
            </w:r>
          </w:p>
        </w:tc>
      </w:tr>
      <w:tr>
        <w:tc>
          <w:tcPr>
            <w:tcW w:type="pct" w:w="8%"/>
          </w:tcPr>
          <w:p>
            <w:pPr>
              <w:jc w:val="center"/>
            </w:pPr>
            <w:r>
              <w:rPr>
                <w:sz w:val="20"/>
                <w:szCs w:val="20"/>
              </w:rPr>
              <w:t xml:space="preserve">2</w:t>
            </w:r>
          </w:p>
        </w:tc>
        <w:tc>
          <w:tcPr>
            <w:tcW w:type="pct" w:w="40%"/>
          </w:tcPr>
          <w:p>
            <w:pPr>
              <w:jc w:val="left"/>
            </w:pPr>
            <w:r>
              <w:rPr>
                <w:sz w:val="20"/>
                <w:szCs w:val="20"/>
              </w:rPr>
              <w:t xml:space="preserve">Real Inkasso GmbH &amp; Co. KG</w:t>
            </w:r>
          </w:p>
        </w:tc>
        <w:tc>
          <w:tcPr>
            <w:tcW w:type="pct" w:w="26%"/>
          </w:tcPr>
          <w:p>
            <w:pPr>
              <w:jc w:val="right"/>
            </w:pPr>
            <w:r>
              <w:rPr>
                <w:sz w:val="20"/>
                <w:szCs w:val="20"/>
              </w:rPr>
              <w:t xml:space="preserve">772,12 €</w:t>
            </w:r>
          </w:p>
        </w:tc>
        <w:tc>
          <w:tcPr>
            <w:tcW w:type="pct" w:w="26%"/>
          </w:tcPr>
          <w:p>
            <w:pPr>
              <w:jc w:val="right"/>
            </w:pPr>
            <w:r>
              <w:rPr>
                <w:sz w:val="20"/>
                <w:szCs w:val="20"/>
              </w:rPr>
              <w:t xml:space="preserve">2.98%</w:t>
            </w:r>
          </w:p>
        </w:tc>
      </w:tr>
      <w:tr>
        <w:tc>
          <w:tcPr>
            <w:tcW w:type="pct" w:w="8%"/>
          </w:tcPr>
          <w:p>
            <w:pPr>
              <w:jc w:val="center"/>
            </w:pPr>
            <w:r>
              <w:rPr>
                <w:sz w:val="20"/>
                <w:szCs w:val="20"/>
              </w:rPr>
              <w:t xml:space="preserve">3</w:t>
            </w:r>
          </w:p>
        </w:tc>
        <w:tc>
          <w:tcPr>
            <w:tcW w:type="pct" w:w="40%"/>
          </w:tcPr>
          <w:p>
            <w:pPr>
              <w:jc w:val="left"/>
            </w:pPr>
            <w:r>
              <w:rPr>
                <w:sz w:val="20"/>
                <w:szCs w:val="20"/>
              </w:rPr>
              <w:t xml:space="preserve">REAL Solution Inkasso GmbH &amp; Co. KG</w:t>
            </w:r>
          </w:p>
        </w:tc>
        <w:tc>
          <w:tcPr>
            <w:tcW w:type="pct" w:w="26%"/>
          </w:tcPr>
          <w:p>
            <w:pPr>
              <w:jc w:val="right"/>
            </w:pPr>
            <w:r>
              <w:rPr>
                <w:sz w:val="20"/>
                <w:szCs w:val="20"/>
              </w:rPr>
              <w:t xml:space="preserve">1.661,60 €</w:t>
            </w:r>
          </w:p>
        </w:tc>
        <w:tc>
          <w:tcPr>
            <w:tcW w:type="pct" w:w="26%"/>
          </w:tcPr>
          <w:p>
            <w:pPr>
              <w:jc w:val="right"/>
            </w:pPr>
            <w:r>
              <w:rPr>
                <w:sz w:val="20"/>
                <w:szCs w:val="20"/>
              </w:rPr>
              <w:t xml:space="preserve">6.40%</w:t>
            </w:r>
          </w:p>
        </w:tc>
      </w:tr>
      <w:tr>
        <w:tc>
          <w:tcPr>
            <w:tcW w:type="pct" w:w="8%"/>
          </w:tcPr>
          <w:p>
            <w:pPr>
              <w:jc w:val="center"/>
            </w:pPr>
            <w:r>
              <w:rPr>
                <w:sz w:val="20"/>
                <w:szCs w:val="20"/>
              </w:rPr>
              <w:t xml:space="preserve">4</w:t>
            </w:r>
          </w:p>
        </w:tc>
        <w:tc>
          <w:tcPr>
            <w:tcW w:type="pct" w:w="40%"/>
          </w:tcPr>
          <w:p>
            <w:pPr>
              <w:jc w:val="left"/>
            </w:pPr>
            <w:r>
              <w:rPr>
                <w:sz w:val="20"/>
                <w:szCs w:val="20"/>
              </w:rPr>
              <w:t xml:space="preserve">Drillisch Online GmbH</w:t>
            </w:r>
          </w:p>
        </w:tc>
        <w:tc>
          <w:tcPr>
            <w:tcW w:type="pct" w:w="26%"/>
          </w:tcPr>
          <w:p>
            <w:pPr>
              <w:jc w:val="right"/>
            </w:pPr>
            <w:r>
              <w:rPr>
                <w:sz w:val="20"/>
                <w:szCs w:val="20"/>
              </w:rPr>
              <w:t xml:space="preserve">1.266,85 €</w:t>
            </w:r>
          </w:p>
        </w:tc>
        <w:tc>
          <w:tcPr>
            <w:tcW w:type="pct" w:w="26%"/>
          </w:tcPr>
          <w:p>
            <w:pPr>
              <w:jc w:val="right"/>
            </w:pPr>
            <w:r>
              <w:rPr>
                <w:sz w:val="20"/>
                <w:szCs w:val="20"/>
              </w:rPr>
              <w:t xml:space="preserve">4.88%</w:t>
            </w:r>
          </w:p>
        </w:tc>
      </w:tr>
      <w:tr>
        <w:tc>
          <w:tcPr>
            <w:tcW w:type="pct" w:w="8%"/>
          </w:tcPr>
          <w:p>
            <w:pPr>
              <w:jc w:val="center"/>
            </w:pPr>
            <w:r>
              <w:rPr>
                <w:sz w:val="20"/>
                <w:szCs w:val="20"/>
              </w:rPr>
              <w:t xml:space="preserve">5</w:t>
            </w:r>
          </w:p>
        </w:tc>
        <w:tc>
          <w:tcPr>
            <w:tcW w:type="pct" w:w="40%"/>
          </w:tcPr>
          <w:p>
            <w:pPr>
              <w:jc w:val="left"/>
            </w:pPr>
            <w:r>
              <w:rPr>
                <w:sz w:val="20"/>
                <w:szCs w:val="20"/>
              </w:rPr>
              <w:t xml:space="preserve">Quelle AG</w:t>
            </w:r>
          </w:p>
        </w:tc>
        <w:tc>
          <w:tcPr>
            <w:tcW w:type="pct" w:w="26%"/>
          </w:tcPr>
          <w:p>
            <w:pPr>
              <w:jc w:val="right"/>
            </w:pPr>
            <w:r>
              <w:rPr>
                <w:sz w:val="20"/>
                <w:szCs w:val="20"/>
              </w:rPr>
              <w:t xml:space="preserve">2.541,00 €</w:t>
            </w:r>
          </w:p>
        </w:tc>
        <w:tc>
          <w:tcPr>
            <w:tcW w:type="pct" w:w="26%"/>
          </w:tcPr>
          <w:p>
            <w:pPr>
              <w:jc w:val="right"/>
            </w:pPr>
            <w:r>
              <w:rPr>
                <w:sz w:val="20"/>
                <w:szCs w:val="20"/>
              </w:rPr>
              <w:t xml:space="preserve">9.79%</w:t>
            </w:r>
          </w:p>
        </w:tc>
      </w:tr>
      <w:tr>
        <w:tc>
          <w:tcPr>
            <w:tcW w:type="pct" w:w="8%"/>
          </w:tcPr>
          <w:p>
            <w:pPr>
              <w:jc w:val="center"/>
            </w:pPr>
            <w:r>
              <w:rPr>
                <w:sz w:val="20"/>
                <w:szCs w:val="20"/>
              </w:rPr>
              <w:t xml:space="preserve">6</w:t>
            </w:r>
          </w:p>
        </w:tc>
        <w:tc>
          <w:tcPr>
            <w:tcW w:type="pct" w:w="40%"/>
          </w:tcPr>
          <w:p>
            <w:pPr>
              <w:jc w:val="left"/>
            </w:pPr>
            <w:r>
              <w:rPr>
                <w:sz w:val="20"/>
                <w:szCs w:val="20"/>
              </w:rPr>
              <w:t xml:space="preserve">Sirius Inkasso GmbH</w:t>
            </w:r>
          </w:p>
        </w:tc>
        <w:tc>
          <w:tcPr>
            <w:tcW w:type="pct" w:w="26%"/>
          </w:tcPr>
          <w:p>
            <w:pPr>
              <w:jc w:val="right"/>
            </w:pPr>
            <w:r>
              <w:rPr>
                <w:sz w:val="20"/>
                <w:szCs w:val="20"/>
              </w:rPr>
              <w:t xml:space="preserve">3.277,77 €</w:t>
            </w:r>
          </w:p>
        </w:tc>
        <w:tc>
          <w:tcPr>
            <w:tcW w:type="pct" w:w="26%"/>
          </w:tcPr>
          <w:p>
            <w:pPr>
              <w:jc w:val="right"/>
            </w:pPr>
            <w:r>
              <w:rPr>
                <w:sz w:val="20"/>
                <w:szCs w:val="20"/>
              </w:rPr>
              <w:t xml:space="preserve">12.63%</w:t>
            </w:r>
          </w:p>
        </w:tc>
      </w:tr>
      <w:tr>
        <w:tc>
          <w:tcPr>
            <w:tcW w:type="pct" w:w="8%"/>
          </w:tcPr>
          <w:p>
            <w:pPr>
              <w:jc w:val="center"/>
            </w:pPr>
            <w:r>
              <w:rPr>
                <w:sz w:val="20"/>
                <w:szCs w:val="20"/>
              </w:rPr>
              <w:t xml:space="preserve">7</w:t>
            </w:r>
          </w:p>
        </w:tc>
        <w:tc>
          <w:tcPr>
            <w:tcW w:type="pct" w:w="40%"/>
          </w:tcPr>
          <w:p>
            <w:pPr>
              <w:jc w:val="left"/>
            </w:pPr>
            <w:r>
              <w:rPr>
                <w:sz w:val="20"/>
                <w:szCs w:val="20"/>
              </w:rPr>
              <w:t xml:space="preserve">Talkline GmbH &amp; Co. KG</w:t>
            </w:r>
          </w:p>
        </w:tc>
        <w:tc>
          <w:tcPr>
            <w:tcW w:type="pct" w:w="26%"/>
          </w:tcPr>
          <w:p>
            <w:pPr>
              <w:jc w:val="right"/>
            </w:pPr>
            <w:r>
              <w:rPr>
                <w:sz w:val="20"/>
                <w:szCs w:val="20"/>
              </w:rPr>
              <w:t xml:space="preserve">10.427,85 €</w:t>
            </w:r>
          </w:p>
        </w:tc>
        <w:tc>
          <w:tcPr>
            <w:tcW w:type="pct" w:w="26%"/>
          </w:tcPr>
          <w:p>
            <w:pPr>
              <w:jc w:val="right"/>
            </w:pPr>
            <w:r>
              <w:rPr>
                <w:sz w:val="20"/>
                <w:szCs w:val="20"/>
              </w:rPr>
              <w:t xml:space="preserve">40.19%</w:t>
            </w:r>
          </w:p>
        </w:tc>
      </w:tr>
      <w:tr>
        <w:tc>
          <w:tcPr>
            <w:tcW w:type="pct" w:w="8%"/>
          </w:tcPr>
          <w:p>
            <w:pPr>
              <w:jc w:val="center"/>
            </w:pPr>
            <w:r>
              <w:rPr>
                <w:sz w:val="20"/>
                <w:szCs w:val="20"/>
              </w:rPr>
              <w:t xml:space="preserve">8</w:t>
            </w:r>
          </w:p>
        </w:tc>
        <w:tc>
          <w:tcPr>
            <w:tcW w:type="pct" w:w="40%"/>
          </w:tcPr>
          <w:p>
            <w:pPr>
              <w:jc w:val="left"/>
            </w:pPr>
            <w:r>
              <w:rPr>
                <w:sz w:val="20"/>
                <w:szCs w:val="20"/>
              </w:rPr>
              <w:t xml:space="preserve">EOS Deutscher Inkasso Dienst</w:t>
            </w:r>
          </w:p>
        </w:tc>
        <w:tc>
          <w:tcPr>
            <w:tcW w:type="pct" w:w="26%"/>
          </w:tcPr>
          <w:p>
            <w:pPr>
              <w:jc w:val="right"/>
            </w:pPr>
            <w:r>
              <w:rPr>
                <w:sz w:val="20"/>
                <w:szCs w:val="20"/>
              </w:rPr>
              <w:t xml:space="preserve">4.413,46 €</w:t>
            </w:r>
          </w:p>
        </w:tc>
        <w:tc>
          <w:tcPr>
            <w:tcW w:type="pct" w:w="26%"/>
          </w:tcPr>
          <w:p>
            <w:pPr>
              <w:jc w:val="right"/>
            </w:pPr>
            <w:r>
              <w:rPr>
                <w:sz w:val="20"/>
                <w:szCs w:val="20"/>
              </w:rPr>
              <w:t xml:space="preserve">17.01%</w:t>
            </w:r>
          </w:p>
        </w:tc>
      </w:tr>
      <w:tr>
        <w:tc>
          <w:tcPr>
            <w:tcW w:type="pct" w:w="8%"/>
          </w:tcPr>
          <w:p>
            <w:pPr>
              <w:jc w:val="center"/>
            </w:pPr>
            <w:r>
              <w:rPr>
                <w:sz w:val="20"/>
                <w:szCs w:val="20"/>
              </w:rPr>
              <w:t xml:space="preserve"/>
            </w:r>
          </w:p>
        </w:tc>
        <w:tc>
          <w:tcPr>
            <w:tcW w:type="pct" w:w="40%"/>
          </w:tcPr>
          <w:p>
            <w:pPr>
              <w:jc w:val="left"/>
            </w:pPr>
            <w:r>
              <w:rPr>
                <w:b/>
                <w:bCs/>
                <w:sz w:val="20"/>
                <w:szCs w:val="20"/>
              </w:rPr>
              <w:t xml:space="preserve">Summe</w:t>
            </w:r>
          </w:p>
        </w:tc>
        <w:tc>
          <w:tcPr>
            <w:tcW w:type="pct" w:w="26%"/>
          </w:tcPr>
          <w:p>
            <w:pPr>
              <w:jc w:val="right"/>
            </w:pPr>
            <w:r>
              <w:rPr>
                <w:b/>
                <w:bCs/>
                <w:sz w:val="20"/>
                <w:szCs w:val="20"/>
              </w:rPr>
              <w:t xml:space="preserve">25.947,78 €</w:t>
            </w:r>
          </w:p>
        </w:tc>
        <w:tc>
          <w:tcPr>
            <w:tcW w:type="pct" w:w="26%"/>
          </w:tcPr>
          <w:p>
            <w:pPr>
              <w:jc w:val="right"/>
            </w:pPr>
            <w:r>
              <w:rPr>
                <w:b/>
                <w:bCs/>
                <w:sz w:val="20"/>
                <w:szCs w:val="20"/>
              </w:rPr>
              <w:t xml:space="preserve">100,00%</w:t>
            </w:r>
          </w:p>
        </w:tc>
      </w:tr>
    </w:tbl>
    <w:p>
      <w:pPr>
        <w:spacing w:after="400"/>
      </w:pPr>
      <w:r>
        <w:t xml:space="preserve"/>
      </w:r>
    </w:p>
    <w:p>
      <w:pPr>
        <w:spacing w:after="200"/>
        <w:ind w:left="6000" w:right="0"/>
        <w:jc w:val="both"/>
      </w:pPr>
      <w:r>
        <w:rPr>
          <w:sz w:val="20"/>
          <w:szCs w:val="20"/>
        </w:rPr>
        <w:t xml:space="preserve">Aufgrund schwankender Einkünfte oder mangels pfändbarem Einkommen wird nur die Quote angeboten. Die pfändbaren Beträge werden nach der Quote von Monat zu Monat neu errechnet. Die Verteilung der Zahlungen an die Gläubiger erfolgt einmal jährlich. Die Bedingungen in der Anlage sind Bestandteil dieses Plans.</w:t>
      </w:r>
    </w:p>
    <w:p>
      <w:pPr>
        <w:spacing w:after="200"/>
      </w:pPr>
      <w:r>
        <w:rPr>
          <w:b/>
          <w:bCs/>
          <w:sz w:val="22"/>
          <w:szCs w:val="22"/>
        </w:rPr>
        <w:t xml:space="preserve">
Gesamtsumme aller Forderungen: 25.947,78 €</w:t>
      </w:r>
    </w:p>
    <w:p>
      <w:pPr>
        <w:spacing w:after="200"/>
      </w:pPr>
      <w:r>
        <w:rPr>
          <w:b/>
          <w:bCs/>
          <w:sz w:val="22"/>
          <w:szCs w:val="22"/>
        </w:rPr>
        <w:t xml:space="preserve">Monatliche Zahlungsrate: 250,00 €</w:t>
      </w:r>
    </w:p>
    <w:p>
      <w:pPr>
        <w:spacing w:after="200"/>
      </w:pPr>
      <w:r>
        <w:rPr>
          <w:b/>
          <w:bCs/>
          <w:sz w:val="22"/>
          <w:szCs w:val="22"/>
        </w:rPr>
        <w:t xml:space="preserve">Gesamte Zahlungssumme über 36 Monate: 9.000,00 €</w:t>
      </w:r>
    </w:p>
    <w:p>
      <w:pPr>
        <w:spacing w:after="400"/>
      </w:pPr>
      <w:r>
        <w:rPr>
          <w:b/>
          <w:bCs/>
          <w:sz w:val="22"/>
          <w:szCs w:val="22"/>
        </w:rPr>
        <w:t xml:space="preserve">Durchschnittliche Quote: 34.67%</w:t>
      </w:r>
    </w:p>
    <w:p>
      <w:pPr>
        <w:spacing w:before="800"/>
        <w:jc w:val="center"/>
      </w:pPr>
      <w:r>
        <w:rPr>
          <w:i/>
          <w:iCs/>
          <w:sz w:val="18"/>
          <w:szCs w:val="18"/>
        </w:rPr>
        <w:t xml:space="preserve">
Erstellt von Thomas Scuric Rechtsanwälte</w:t>
      </w:r>
    </w:p>
    <w:p>
      <w:pPr>
        <w:spacing w:after="200"/>
        <w:jc w:val="center"/>
      </w:pPr>
      <w:r>
        <w:rPr>
          <w:i/>
          <w:iCs/>
          <w:sz w:val="18"/>
          <w:szCs w:val="18"/>
        </w:rPr>
        <w:t xml:space="preserve">Datum: 04.09.2025</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Außergerichtlicher Schuldenbereinigungsplan</dc:title>
  <dc:creator>Thomas Scuric Rechtsanwälte</dc:creator>
  <cp:lastModifiedBy>Un-named</cp:lastModifiedBy>
  <cp:revision>1</cp:revision>
  <dcterms:created xsi:type="dcterms:W3CDTF">2025-09-04T08:10:52.848Z</dcterms:created>
  <dcterms:modified xsi:type="dcterms:W3CDTF">2025-09-04T08:10:52.848Z</dcterms:modified>
</cp:coreProperties>
</file>

<file path=docProps/custom.xml><?xml version="1.0" encoding="utf-8"?>
<Properties xmlns="http://schemas.openxmlformats.org/officeDocument/2006/custom-properties" xmlns:vt="http://schemas.openxmlformats.org/officeDocument/2006/docPropsVTypes"/>
</file>