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30" w:val="right" w:leader="none"/>
        </w:tabs>
        <w:spacing w:before="79"/>
        <w:ind w:left="251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Außergerichtlicher</w:t>
      </w:r>
      <w:r>
        <w:rPr>
          <w:b/>
          <w:spacing w:val="34"/>
          <w:sz w:val="20"/>
        </w:rPr>
        <w:t> </w:t>
      </w:r>
      <w:r>
        <w:rPr>
          <w:b/>
          <w:spacing w:val="-4"/>
          <w:sz w:val="20"/>
        </w:rPr>
        <w:t>Schuldenbereinigungsplan</w:t>
      </w:r>
      <w:r>
        <w:rPr>
          <w:b/>
          <w:spacing w:val="26"/>
          <w:sz w:val="20"/>
        </w:rPr>
        <w:t> </w:t>
      </w:r>
      <w:r>
        <w:rPr>
          <w:b/>
          <w:spacing w:val="-5"/>
          <w:sz w:val="20"/>
        </w:rPr>
        <w:t>vom</w:t>
      </w:r>
      <w:r>
        <w:rPr>
          <w:b/>
          <w:sz w:val="20"/>
        </w:rPr>
        <w:tab/>
      </w:r>
      <w:r>
        <w:rPr>
          <w:b/>
          <w:spacing w:val="-2"/>
          <w:sz w:val="20"/>
        </w:rPr>
        <w:t>16.10.2025</w:t>
      </w:r>
    </w:p>
    <w:p>
      <w:pPr>
        <w:tabs>
          <w:tab w:pos="2310" w:val="left" w:leader="none"/>
        </w:tabs>
        <w:spacing w:before="223"/>
        <w:ind w:left="236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Schuldner-/in:</w:t>
      </w:r>
      <w:r>
        <w:rPr>
          <w:b/>
          <w:sz w:val="18"/>
        </w:rPr>
        <w:tab/>
        <w:t>okla</w:t>
      </w:r>
      <w:r>
        <w:rPr>
          <w:b/>
          <w:spacing w:val="-3"/>
          <w:sz w:val="18"/>
        </w:rPr>
        <w:t> </w:t>
      </w:r>
      <w:r>
        <w:rPr>
          <w:b/>
          <w:spacing w:val="-4"/>
          <w:sz w:val="18"/>
        </w:rPr>
        <w:t>test</w:t>
      </w:r>
    </w:p>
    <w:p>
      <w:pPr>
        <w:tabs>
          <w:tab w:pos="2878" w:val="left" w:leader="none"/>
        </w:tabs>
        <w:spacing w:before="279"/>
        <w:ind w:left="236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Quotenplan</w:t>
      </w:r>
      <w:r>
        <w:rPr>
          <w:b/>
          <w:sz w:val="18"/>
        </w:rPr>
        <w:tab/>
        <w:t>Laufzeit: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36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Monate</w:t>
      </w:r>
    </w:p>
    <w:p>
      <w:pPr>
        <w:pStyle w:val="BodyText"/>
        <w:tabs>
          <w:tab w:pos="4021" w:val="right" w:leader="none"/>
        </w:tabs>
        <w:spacing w:before="564"/>
        <w:ind w:left="251"/>
      </w:pPr>
      <w:r>
        <w:rPr/>
        <w:t>Beginn</w:t>
      </w:r>
      <w:r>
        <w:rPr>
          <w:spacing w:val="-9"/>
        </w:rPr>
        <w:t> </w:t>
      </w:r>
      <w:r>
        <w:rPr/>
        <w:t>des</w:t>
      </w:r>
      <w:r>
        <w:rPr>
          <w:spacing w:val="-5"/>
        </w:rPr>
        <w:t> </w:t>
      </w:r>
      <w:r>
        <w:rPr>
          <w:spacing w:val="-2"/>
        </w:rPr>
        <w:t>Zahlungsplans</w:t>
      </w:r>
      <w:r>
        <w:rPr/>
        <w:tab/>
      </w:r>
      <w:r>
        <w:rPr>
          <w:spacing w:val="-2"/>
        </w:rPr>
        <w:t>16.1.2026</w:t>
      </w:r>
    </w:p>
    <w:p>
      <w:pPr>
        <w:pStyle w:val="BodyText"/>
        <w:spacing w:before="1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2066289</wp:posOffset>
                </wp:positionH>
                <wp:positionV relativeFrom="paragraph">
                  <wp:posOffset>45129</wp:posOffset>
                </wp:positionV>
                <wp:extent cx="1154430" cy="1143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5443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4430" h="11430">
                              <a:moveTo>
                                <a:pt x="1153972" y="0"/>
                              </a:moveTo>
                              <a:lnTo>
                                <a:pt x="0" y="0"/>
                              </a:lnTo>
                              <a:lnTo>
                                <a:pt x="0" y="11429"/>
                              </a:lnTo>
                              <a:lnTo>
                                <a:pt x="1153972" y="11429"/>
                              </a:lnTo>
                              <a:lnTo>
                                <a:pt x="1153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699997pt;margin-top:3.553516pt;width:90.864pt;height:.9pt;mso-position-horizontal-relative:page;mso-position-vertical-relative:paragraph;z-index:-15728640;mso-wrap-distance-left:0;mso-wrap-distance-right:0" id="docshape2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242" w:lineRule="auto"/>
        <w:ind w:left="6558" w:right="22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316229</wp:posOffset>
                </wp:positionH>
                <wp:positionV relativeFrom="paragraph">
                  <wp:posOffset>-138400</wp:posOffset>
                </wp:positionV>
                <wp:extent cx="3825240" cy="311213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825240" cy="3112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0"/>
                              <w:gridCol w:w="3055"/>
                              <w:gridCol w:w="1069"/>
                              <w:gridCol w:w="1393"/>
                            </w:tblGrid>
                            <w:tr>
                              <w:trPr>
                                <w:trHeight w:val="815" w:hRule="atLeast"/>
                              </w:trPr>
                              <w:tc>
                                <w:tcPr>
                                  <w:tcW w:w="370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31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33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6"/>
                                    </w:rPr>
                                    <w:t>Nr.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31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Gläubiger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before="132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Forderung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shd w:val="clear" w:color="auto" w:fill="CCCCFF"/>
                                </w:tcPr>
                                <w:p>
                                  <w:pPr>
                                    <w:pStyle w:val="TableParagraph"/>
                                    <w:spacing w:line="276" w:lineRule="auto" w:before="106"/>
                                    <w:ind w:left="34" w:right="30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Quote von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6"/>
                                    </w:rPr>
                                    <w:t>Gesamt-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6"/>
                                    </w:rPr>
                                    <w:t>verschuldung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4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</w:tcPr>
                                <w:p>
                                  <w:pPr>
                                    <w:pStyle w:val="TableParagraph"/>
                                    <w:spacing w:before="134"/>
                                    <w:ind w:right="219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before="197"/>
                                    <w:ind w:left="2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128"/>
                                    <w:ind w:left="2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94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right="218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before="150"/>
                                    <w:ind w:left="2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123"/>
                                    <w:ind w:left="26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4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</w:tcPr>
                                <w:p>
                                  <w:pPr>
                                    <w:pStyle w:val="TableParagraph"/>
                                    <w:spacing w:before="133"/>
                                    <w:ind w:right="221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2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127"/>
                                    <w:ind w:left="26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8"/>
                                    <w:ind w:left="94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</w:tcPr>
                                <w:p>
                                  <w:pPr>
                                    <w:pStyle w:val="TableParagraph"/>
                                    <w:spacing w:before="114"/>
                                    <w:ind w:right="22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before="122"/>
                                    <w:ind w:left="2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108"/>
                                    <w:ind w:left="2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9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94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</w:tcPr>
                                <w:p>
                                  <w:pPr>
                                    <w:pStyle w:val="TableParagraph"/>
                                    <w:spacing w:before="122"/>
                                    <w:ind w:right="221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before="130"/>
                                    <w:ind w:left="2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26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4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</w:tcPr>
                                <w:p>
                                  <w:pPr>
                                    <w:pStyle w:val="TableParagraph"/>
                                    <w:spacing w:before="138"/>
                                    <w:ind w:right="2220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24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132"/>
                                    <w:ind w:left="25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94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right="221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before="121"/>
                                    <w:ind w:left="24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26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spacing w:before="116"/>
                                    <w:ind w:left="94" w:right="3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55" w:type="dxa"/>
                                </w:tcPr>
                                <w:p>
                                  <w:pPr>
                                    <w:pStyle w:val="TableParagraph"/>
                                    <w:spacing w:before="135"/>
                                    <w:ind w:right="2214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24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129"/>
                                    <w:ind w:left="2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Test </w:t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3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55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Summe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9pt;margin-top:-10.897656pt;width:301.2pt;height:245.05pt;mso-position-horizontal-relative:page;mso-position-vertical-relative:paragraph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0"/>
                        <w:gridCol w:w="3055"/>
                        <w:gridCol w:w="1069"/>
                        <w:gridCol w:w="1393"/>
                      </w:tblGrid>
                      <w:tr>
                        <w:trPr>
                          <w:trHeight w:val="815" w:hRule="atLeast"/>
                        </w:trPr>
                        <w:tc>
                          <w:tcPr>
                            <w:tcW w:w="370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3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33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>Nr.</w:t>
                            </w:r>
                          </w:p>
                        </w:tc>
                        <w:tc>
                          <w:tcPr>
                            <w:tcW w:w="3055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3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Gläubiger</w:t>
                            </w:r>
                          </w:p>
                        </w:tc>
                        <w:tc>
                          <w:tcPr>
                            <w:tcW w:w="1069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before="132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Forderung</w:t>
                            </w:r>
                          </w:p>
                        </w:tc>
                        <w:tc>
                          <w:tcPr>
                            <w:tcW w:w="1393" w:type="dxa"/>
                            <w:shd w:val="clear" w:color="auto" w:fill="CCCCFF"/>
                          </w:tcPr>
                          <w:p>
                            <w:pPr>
                              <w:pStyle w:val="TableParagraph"/>
                              <w:spacing w:line="276" w:lineRule="auto" w:before="106"/>
                              <w:ind w:left="34" w:right="30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Quote von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Gesamt- 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>verschuldung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34"/>
                              <w:ind w:right="219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97"/>
                              <w:ind w:left="22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28"/>
                              <w:ind w:left="26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right="218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50"/>
                              <w:ind w:left="22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23"/>
                              <w:ind w:left="26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33"/>
                              <w:ind w:right="221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40"/>
                              <w:ind w:left="2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27"/>
                              <w:ind w:left="2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8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14"/>
                              <w:ind w:right="22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22"/>
                              <w:ind w:left="2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08"/>
                              <w:ind w:left="2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9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22"/>
                              <w:ind w:right="221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30"/>
                              <w:ind w:left="2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2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38"/>
                              <w:ind w:right="2220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45"/>
                              <w:ind w:left="24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32"/>
                              <w:ind w:left="25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7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13"/>
                              <w:ind w:right="221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21"/>
                              <w:ind w:left="2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26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50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spacing w:before="116"/>
                              <w:ind w:left="94" w:right="3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135"/>
                              <w:ind w:right="2214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spacing w:before="143"/>
                              <w:ind w:left="2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29"/>
                              <w:ind w:left="2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Test </w:t>
                            </w: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3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55" w:type="dxa"/>
                          </w:tcPr>
                          <w:p>
                            <w:pPr>
                              <w:pStyle w:val="TableParagraph"/>
                              <w:spacing w:before="28"/>
                              <w:ind w:left="4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Summe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Aufgrund schwankender Einkünfte oder mangels pfändbarem Einkommen</w:t>
      </w:r>
      <w:r>
        <w:rPr>
          <w:spacing w:val="-6"/>
        </w:rPr>
        <w:t> </w:t>
      </w:r>
      <w:r>
        <w:rPr/>
        <w:t>wird</w:t>
      </w:r>
      <w:r>
        <w:rPr>
          <w:spacing w:val="-5"/>
        </w:rPr>
        <w:t> </w:t>
      </w:r>
      <w:r>
        <w:rPr/>
        <w:t>nur</w:t>
      </w:r>
      <w:r>
        <w:rPr>
          <w:spacing w:val="-6"/>
        </w:rPr>
        <w:t> </w:t>
      </w:r>
      <w:r>
        <w:rPr/>
        <w:t>die</w:t>
      </w:r>
      <w:r>
        <w:rPr>
          <w:spacing w:val="-5"/>
        </w:rPr>
        <w:t> </w:t>
      </w:r>
      <w:r>
        <w:rPr/>
        <w:t>Quote</w:t>
      </w:r>
      <w:r>
        <w:rPr>
          <w:spacing w:val="-6"/>
        </w:rPr>
        <w:t> </w:t>
      </w:r>
      <w:r>
        <w:rPr/>
        <w:t>angegeben.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pfändbaren</w:t>
      </w:r>
      <w:r>
        <w:rPr>
          <w:spacing w:val="-5"/>
        </w:rPr>
        <w:t> </w:t>
      </w:r>
      <w:r>
        <w:rPr/>
        <w:t>Beträge werden nach der Quote von Monat zu Monat neu errechnet .</w:t>
      </w:r>
      <w:r>
        <w:rPr>
          <w:spacing w:val="80"/>
        </w:rPr>
        <w:t> </w:t>
      </w:r>
      <w:r>
        <w:rPr/>
        <w:t>Die Verteilung der Zahlungen an die Gläubiger erfolgt einmal jährlich.</w:t>
      </w:r>
    </w:p>
    <w:p>
      <w:pPr>
        <w:pStyle w:val="BodyText"/>
        <w:spacing w:before="1"/>
        <w:ind w:left="6558"/>
      </w:pPr>
      <w:r>
        <w:rPr/>
        <w:t>Die</w:t>
      </w:r>
      <w:r>
        <w:rPr>
          <w:spacing w:val="-5"/>
        </w:rPr>
        <w:t> </w:t>
      </w:r>
      <w:r>
        <w:rPr/>
        <w:t>Bedingungen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der</w:t>
      </w:r>
      <w:r>
        <w:rPr>
          <w:spacing w:val="-3"/>
        </w:rPr>
        <w:t> </w:t>
      </w:r>
      <w:r>
        <w:rPr/>
        <w:t>Anlage</w:t>
      </w:r>
      <w:r>
        <w:rPr>
          <w:spacing w:val="-7"/>
        </w:rPr>
        <w:t> </w:t>
      </w:r>
      <w:r>
        <w:rPr/>
        <w:t>sind</w:t>
      </w:r>
      <w:r>
        <w:rPr>
          <w:spacing w:val="-4"/>
        </w:rPr>
        <w:t> </w:t>
      </w:r>
      <w:r>
        <w:rPr/>
        <w:t>Bestandteil</w:t>
      </w:r>
      <w:r>
        <w:rPr>
          <w:spacing w:val="-10"/>
        </w:rPr>
        <w:t> </w:t>
      </w:r>
      <w:r>
        <w:rPr/>
        <w:t>dieses</w:t>
      </w:r>
      <w:r>
        <w:rPr>
          <w:spacing w:val="-5"/>
        </w:rPr>
        <w:t> </w:t>
      </w:r>
      <w:r>
        <w:rPr>
          <w:spacing w:val="-2"/>
        </w:rPr>
        <w:t>Plans.</w:t>
      </w:r>
    </w:p>
    <w:p>
      <w:pPr>
        <w:pStyle w:val="BodyText"/>
        <w:spacing w:before="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4420234</wp:posOffset>
                </wp:positionH>
                <wp:positionV relativeFrom="paragraph">
                  <wp:posOffset>138916</wp:posOffset>
                </wp:positionV>
                <wp:extent cx="3136265" cy="1143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13626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265" h="11430">
                              <a:moveTo>
                                <a:pt x="3135757" y="0"/>
                              </a:moveTo>
                              <a:lnTo>
                                <a:pt x="0" y="0"/>
                              </a:lnTo>
                              <a:lnTo>
                                <a:pt x="0" y="11429"/>
                              </a:lnTo>
                              <a:lnTo>
                                <a:pt x="3135757" y="11429"/>
                              </a:lnTo>
                              <a:lnTo>
                                <a:pt x="3135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049988pt;margin-top:10.938281pt;width:246.91pt;height:.9pt;mso-position-horizontal-relative:page;mso-position-vertical-relative:paragraph;z-index:-15728128;mso-wrap-distance-left:0;mso-wrap-distance-right:0" id="docshape4" filled="true" fillcolor="#999999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spacing w:before="0"/>
        <w:ind w:left="182" w:right="0" w:firstLine="0"/>
        <w:jc w:val="left"/>
        <w:rPr>
          <w:sz w:val="14"/>
        </w:rPr>
      </w:pPr>
      <w:r>
        <w:rPr>
          <w:sz w:val="14"/>
        </w:rPr>
        <w:t>Hinweis: Aufgrund</w:t>
      </w:r>
      <w:r>
        <w:rPr>
          <w:spacing w:val="-3"/>
          <w:sz w:val="14"/>
        </w:rPr>
        <w:t> </w:t>
      </w:r>
      <w:r>
        <w:rPr>
          <w:sz w:val="14"/>
        </w:rPr>
        <w:t>der</w:t>
      </w:r>
      <w:r>
        <w:rPr>
          <w:spacing w:val="1"/>
          <w:sz w:val="14"/>
        </w:rPr>
        <w:t> </w:t>
      </w:r>
      <w:r>
        <w:rPr>
          <w:sz w:val="14"/>
        </w:rPr>
        <w:t>Rundung</w:t>
      </w:r>
      <w:r>
        <w:rPr>
          <w:spacing w:val="-1"/>
          <w:sz w:val="14"/>
        </w:rPr>
        <w:t> </w:t>
      </w:r>
      <w:r>
        <w:rPr>
          <w:sz w:val="14"/>
        </w:rPr>
        <w:t>der Quoten auf</w:t>
      </w:r>
      <w:r>
        <w:rPr>
          <w:spacing w:val="2"/>
          <w:sz w:val="14"/>
        </w:rPr>
        <w:t> </w:t>
      </w:r>
      <w:r>
        <w:rPr>
          <w:sz w:val="14"/>
        </w:rPr>
        <w:t>2 Nachkommastellen</w:t>
      </w:r>
      <w:r>
        <w:rPr>
          <w:spacing w:val="-1"/>
          <w:sz w:val="14"/>
        </w:rPr>
        <w:t> </w:t>
      </w:r>
      <w:r>
        <w:rPr>
          <w:sz w:val="14"/>
        </w:rPr>
        <w:t>kann</w:t>
      </w:r>
      <w:r>
        <w:rPr>
          <w:spacing w:val="1"/>
          <w:sz w:val="14"/>
        </w:rPr>
        <w:t> </w:t>
      </w:r>
      <w:r>
        <w:rPr>
          <w:sz w:val="14"/>
        </w:rPr>
        <w:t>die Summe der</w:t>
      </w:r>
      <w:r>
        <w:rPr>
          <w:spacing w:val="-1"/>
          <w:sz w:val="14"/>
        </w:rPr>
        <w:t> </w:t>
      </w:r>
      <w:r>
        <w:rPr>
          <w:sz w:val="14"/>
        </w:rPr>
        <w:t>Quoten geringfügig von</w:t>
      </w:r>
      <w:r>
        <w:rPr>
          <w:spacing w:val="-1"/>
          <w:sz w:val="14"/>
        </w:rPr>
        <w:t> </w:t>
      </w:r>
      <w:r>
        <w:rPr>
          <w:sz w:val="14"/>
        </w:rPr>
        <w:t>100%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abweichen.</w:t>
      </w:r>
    </w:p>
    <w:sectPr>
      <w:footerReference w:type="default" r:id="rId5"/>
      <w:type w:val="continuous"/>
      <w:pgSz w:w="16840" w:h="11910" w:orient="landscape"/>
      <w:pgMar w:header="0" w:footer="323" w:top="900" w:bottom="520" w:left="425" w:right="2409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8512">
              <wp:simplePos x="0" y="0"/>
              <wp:positionH relativeFrom="page">
                <wp:posOffset>9625838</wp:posOffset>
              </wp:positionH>
              <wp:positionV relativeFrom="page">
                <wp:posOffset>7218077</wp:posOffset>
              </wp:positionV>
              <wp:extent cx="379730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7973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Seite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7.940002pt;margin-top:568.352539pt;width:29.9pt;height:12.1pt;mso-position-horizontal-relative:page;mso-position-vertical-relative:page;z-index:-1582796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Seite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20"/>
    </w:pPr>
    <w:rPr>
      <w:rFonts w:ascii="Arial" w:hAnsi="Arial" w:eastAsia="Arial" w:cs="Arial"/>
      <w:sz w:val="18"/>
      <w:szCs w:val="18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Roth</dc:creator>
  <dcterms:created xsi:type="dcterms:W3CDTF">2025-10-16T10:37:10Z</dcterms:created>
  <dcterms:modified xsi:type="dcterms:W3CDTF">2025-10-16T10:37:10Z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2025-10-16T00:00:00Z</vt:filetime>
  </property>
  <property fmtid="{D5CDD505-2E9C-101B-9397-08002B2CF9AE}" pid="5" name="Producer">
    <vt:lpwstr>Adobe PDF Services</vt:lpwstr>
  </property>
</Properties>
</file>