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b/>
          <w:bCs/>
          <w:sz w:val="26"/>
          <w:szCs w:val="26"/>
        </w:rPr>
        <w:t xml:space="preserve">Außergerichtlicher Schuldenbereinigungsplan vomss 03.11.2025</w:t>
      </w:r>
    </w:p>
    <w:p>
      <w:pPr>
        <w:spacing w:after="400"/>
      </w:pPr>
      <w:r>
        <w:rPr>
          <w:b/>
          <w:bCs/>
          <w:sz w:val="20"/>
          <w:szCs w:val="20"/>
        </w:rPr>
        <w:t xml:space="preserve">Schuldner/-in:</w:t>
      </w:r>
      <w:r>
        <w:rPr>
          <w:sz w:val="20"/>
          <w:szCs w:val="20"/>
        </w:rPr>
        <w:t xml:space="preserve">     Test User Nullplan</w:t>
      </w:r>
    </w:p>
    <w:p>
      <w:pPr>
        <w:spacing w:after="400"/>
      </w:pPr>
      <w:r>
        <w:rPr>
          <w:b/>
          <w:bCs/>
          <w:sz w:val="20"/>
          <w:szCs w:val="20"/>
        </w:rPr>
        <w:t xml:space="preserve">Quotenplan</w:t>
      </w:r>
      <w:r>
        <w:rPr>
          <w:sz w:val="20"/>
          <w:szCs w:val="20"/>
        </w:rPr>
        <w:t xml:space="preserve">                              Laufzeit: 36 Monate</w:t>
      </w:r>
    </w:p>
    <w:p>
      <w:pPr>
        <w:spacing w:after="600"/>
      </w:pPr>
      <w:r>
        <w:rPr>
          <w:sz w:val="20"/>
          <w:szCs w:val="20"/>
        </w:rPr>
        <w:t xml:space="preserve">Beginn des Zahlungsplans</w:t>
      </w:r>
      <w:r>
        <w:rPr>
          <w:sz w:val="20"/>
          <w:szCs w:val="20"/>
          <w:u w:val="single"/>
        </w:rPr>
        <w:t xml:space="preserve">          1.12.2025</w:t>
      </w:r>
    </w:p>
    <w:tbl>
      <w:tblPr>
        <w:tblpPr w:horzAnchor="center" w:vertAnchor="top"/>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000000" w:sz="1"/>
              <w:left w:val="single" w:color="000000" w:sz="1"/>
              <w:bottom w:val="single" w:color="000000" w:sz="1"/>
              <w:right w:val="single" w:color="000000" w:sz="1"/>
            </w:tcBorders>
            <w:shd w:fill="D9D9FF"/>
          </w:tcPr>
          <w:p>
            <w:pPr>
              <w:jc w:val="center"/>
            </w:pPr>
            <w:r>
              <w:rPr>
                <w:b/>
                <w:bCs/>
                <w:sz w:val="18"/>
                <w:szCs w:val="18"/>
              </w:rPr>
              <w:t xml:space="preserve">Nr.</w:t>
            </w:r>
          </w:p>
        </w:tc>
        <w:tc>
          <w:tcPr>
            <w:tcW w:type="pct" w:w="45%"/>
            <w:tcBorders>
              <w:top w:val="single" w:color="000000" w:sz="1"/>
              <w:left w:val="single" w:color="000000" w:sz="1"/>
              <w:bottom w:val="single" w:color="000000" w:sz="1"/>
              <w:right w:val="single" w:color="000000" w:sz="1"/>
            </w:tcBorders>
            <w:shd w:fill="D9D9FF"/>
          </w:tcPr>
          <w:p>
            <w:pPr>
              <w:jc w:val="center"/>
            </w:pPr>
            <w:r>
              <w:rPr>
                <w:b/>
                <w:bCs/>
                <w:sz w:val="18"/>
                <w:szCs w:val="18"/>
              </w:rPr>
              <w:t xml:space="preserve">Gläubiger</w:t>
            </w:r>
          </w:p>
        </w:tc>
        <w:tc>
          <w:tcPr>
            <w:tcW w:type="pct" w:w="20%"/>
            <w:tcBorders>
              <w:top w:val="single" w:color="000000" w:sz="1"/>
              <w:left w:val="single" w:color="000000" w:sz="1"/>
              <w:bottom w:val="single" w:color="000000" w:sz="1"/>
              <w:right w:val="single" w:color="000000" w:sz="1"/>
            </w:tcBorders>
            <w:shd w:fill="D9D9FF"/>
          </w:tcPr>
          <w:p>
            <w:pPr>
              <w:jc w:val="center"/>
            </w:pPr>
            <w:r>
              <w:rPr>
                <w:b/>
                <w:bCs/>
                <w:sz w:val="18"/>
                <w:szCs w:val="18"/>
              </w:rPr>
              <w:t xml:space="preserve">Forderung</w:t>
            </w:r>
          </w:p>
        </w:tc>
        <w:tc>
          <w:tcPr>
            <w:tcW w:type="pct" w:w="25%"/>
            <w:tcBorders>
              <w:top w:val="single" w:color="000000" w:sz="1"/>
              <w:left w:val="single" w:color="000000" w:sz="1"/>
              <w:bottom w:val="single" w:color="000000" w:sz="1"/>
              <w:right w:val="single" w:color="000000" w:sz="1"/>
            </w:tcBorders>
            <w:shd w:fill="D9D9FF"/>
          </w:tcPr>
          <w:p>
            <w:pPr>
              <w:jc w:val="center"/>
            </w:pPr>
            <w:r>
              <w:rPr>
                <w:b/>
                <w:bCs/>
                <w:sz w:val="18"/>
                <w:szCs w:val="18"/>
              </w:rPr>
              <w:t xml:space="preserve">Quote von Gesamtverschuldung</w:t>
            </w:r>
          </w:p>
        </w:tc>
      </w:tr>
      <w:tr>
        <w:tc>
          <w:tcPr>
            <w:tcBorders>
              <w:top w:val="single" w:color="000000" w:sz="1"/>
              <w:left w:val="single" w:color="000000" w:sz="1"/>
              <w:bottom w:val="single" w:color="000000" w:sz="1"/>
              <w:right w:val="single" w:color="000000" w:sz="1"/>
            </w:tcBorders>
          </w:tcPr>
          <w:p>
            <w:pPr>
              <w:jc w:val="center"/>
            </w:pPr>
            <w:r>
              <w:rPr>
                <w:sz w:val="16"/>
                <w:szCs w:val="16"/>
              </w:rPr>
              <w:t xml:space="preserve">1</w:t>
            </w:r>
          </w:p>
        </w:tc>
        <w:tc>
          <w:tcPr>
            <w:tcBorders>
              <w:top w:val="single" w:color="000000" w:sz="1"/>
              <w:left w:val="single" w:color="000000" w:sz="1"/>
              <w:bottom w:val="single" w:color="000000" w:sz="1"/>
              <w:right w:val="single" w:color="000000" w:sz="1"/>
            </w:tcBorders>
          </w:tcPr>
          <w:p>
            <w:pPr>
              <w:jc w:val="left"/>
            </w:pPr>
            <w:r>
              <w:rPr>
                <w:sz w:val="16"/>
                <w:szCs w:val="16"/>
              </w:rPr>
              <w:t xml:space="preserve">EOS Deutscher Inkasso-Dienst GmbH</w:t>
            </w:r>
          </w:p>
        </w:tc>
        <w:tc>
          <w:tcPr>
            <w:tcBorders>
              <w:top w:val="single" w:color="000000" w:sz="1"/>
              <w:left w:val="single" w:color="000000" w:sz="1"/>
              <w:bottom w:val="single" w:color="000000" w:sz="1"/>
              <w:right w:val="single" w:color="000000" w:sz="1"/>
            </w:tcBorders>
          </w:tcPr>
          <w:p>
            <w:pPr>
              <w:jc w:val="right"/>
            </w:pPr>
            <w:r>
              <w:rPr>
                <w:sz w:val="16"/>
                <w:szCs w:val="16"/>
              </w:rPr>
              <w:t xml:space="preserve">795,56 €</w:t>
            </w:r>
          </w:p>
        </w:tc>
        <w:tc>
          <w:tcPr>
            <w:tcBorders>
              <w:top w:val="single" w:color="000000" w:sz="1"/>
              <w:left w:val="single" w:color="000000" w:sz="1"/>
              <w:bottom w:val="single" w:color="000000" w:sz="1"/>
              <w:right w:val="single" w:color="000000" w:sz="1"/>
            </w:tcBorders>
          </w:tcPr>
          <w:p>
            <w:pPr>
              <w:jc w:val="right"/>
            </w:pPr>
            <w:r>
              <w:rPr>
                <w:sz w:val="16"/>
                <w:szCs w:val="16"/>
              </w:rPr>
              <w:t xml:space="preserve">15,02 %</w:t>
            </w:r>
          </w:p>
        </w:tc>
      </w:tr>
      <w:tr>
        <w:tc>
          <w:tcPr>
            <w:tcBorders>
              <w:top w:val="single" w:color="000000" w:sz="1"/>
              <w:left w:val="single" w:color="000000" w:sz="1"/>
              <w:bottom w:val="single" w:color="000000" w:sz="1"/>
              <w:right w:val="single" w:color="000000" w:sz="1"/>
            </w:tcBorders>
          </w:tcPr>
          <w:p>
            <w:pPr>
              <w:jc w:val="center"/>
            </w:pPr>
            <w:r>
              <w:rPr>
                <w:sz w:val="16"/>
                <w:szCs w:val="16"/>
              </w:rPr>
              <w:t xml:space="preserve">2</w:t>
            </w:r>
          </w:p>
        </w:tc>
        <w:tc>
          <w:tcPr>
            <w:tcBorders>
              <w:top w:val="single" w:color="000000" w:sz="1"/>
              <w:left w:val="single" w:color="000000" w:sz="1"/>
              <w:bottom w:val="single" w:color="000000" w:sz="1"/>
              <w:right w:val="single" w:color="000000" w:sz="1"/>
            </w:tcBorders>
          </w:tcPr>
          <w:p>
            <w:pPr>
              <w:jc w:val="left"/>
            </w:pPr>
            <w:r>
              <w:rPr>
                <w:sz w:val="16"/>
                <w:szCs w:val="16"/>
              </w:rPr>
              <w:t xml:space="preserve">EOS Deutscher Inkasso-Dienst GmbH</w:t>
            </w:r>
          </w:p>
        </w:tc>
        <w:tc>
          <w:tcPr>
            <w:tcBorders>
              <w:top w:val="single" w:color="000000" w:sz="1"/>
              <w:left w:val="single" w:color="000000" w:sz="1"/>
              <w:bottom w:val="single" w:color="000000" w:sz="1"/>
              <w:right w:val="single" w:color="000000" w:sz="1"/>
            </w:tcBorders>
          </w:tcPr>
          <w:p>
            <w:pPr>
              <w:jc w:val="right"/>
            </w:pPr>
            <w:r>
              <w:rPr>
                <w:sz w:val="16"/>
                <w:szCs w:val="16"/>
              </w:rPr>
              <w:t xml:space="preserve">4.500,00 €</w:t>
            </w:r>
          </w:p>
        </w:tc>
        <w:tc>
          <w:tcPr>
            <w:tcBorders>
              <w:top w:val="single" w:color="000000" w:sz="1"/>
              <w:left w:val="single" w:color="000000" w:sz="1"/>
              <w:bottom w:val="single" w:color="000000" w:sz="1"/>
              <w:right w:val="single" w:color="000000" w:sz="1"/>
            </w:tcBorders>
          </w:tcPr>
          <w:p>
            <w:pPr>
              <w:jc w:val="right"/>
            </w:pPr>
            <w:r>
              <w:rPr>
                <w:sz w:val="16"/>
                <w:szCs w:val="16"/>
              </w:rPr>
              <w:t xml:space="preserve">84,98 %</w:t>
            </w:r>
          </w:p>
        </w:tc>
      </w:tr>
      <w:tr>
        <w:tc>
          <w:tcPr>
            <w:tcBorders>
              <w:top w:val="single" w:color="000000" w:sz="1"/>
              <w:left w:val="single" w:color="000000" w:sz="1"/>
              <w:bottom w:val="single" w:color="000000" w:sz="1"/>
              <w:right w:val="single" w:color="000000" w:sz="1"/>
            </w:tcBorders>
            <w:shd w:fill="E8E8E8"/>
          </w:tcPr>
          <w:p>
            <w:pPr>
              <w:jc w:val="center"/>
            </w:pPr>
            <w:r>
              <w:rPr>
                <w:sz w:val="16"/>
                <w:szCs w:val="16"/>
              </w:rPr>
              <w:t xml:space="preserve"/>
            </w:r>
          </w:p>
        </w:tc>
        <w:tc>
          <w:tcPr>
            <w:tcBorders>
              <w:top w:val="single" w:color="000000" w:sz="1"/>
              <w:left w:val="single" w:color="000000" w:sz="1"/>
              <w:bottom w:val="single" w:color="000000" w:sz="1"/>
              <w:right w:val="single" w:color="000000" w:sz="1"/>
            </w:tcBorders>
            <w:shd w:fill="E8E8E8"/>
          </w:tcPr>
          <w:p>
            <w:pPr>
              <w:jc w:val="left"/>
            </w:pPr>
            <w:r>
              <w:rPr>
                <w:b/>
                <w:bCs/>
                <w:sz w:val="16"/>
                <w:szCs w:val="16"/>
              </w:rPr>
              <w:t xml:space="preserve">Summe</w:t>
            </w:r>
          </w:p>
        </w:tc>
        <w:tc>
          <w:tcPr>
            <w:tcBorders>
              <w:top w:val="single" w:color="000000" w:sz="1"/>
              <w:left w:val="single" w:color="000000" w:sz="1"/>
              <w:bottom w:val="single" w:color="000000" w:sz="1"/>
              <w:right w:val="single" w:color="000000" w:sz="1"/>
            </w:tcBorders>
            <w:shd w:fill="E8E8E8"/>
          </w:tcPr>
          <w:p>
            <w:pPr>
              <w:jc w:val="right"/>
            </w:pPr>
            <w:r>
              <w:rPr>
                <w:b/>
                <w:bCs/>
                <w:sz w:val="16"/>
                <w:szCs w:val="16"/>
              </w:rPr>
              <w:t xml:space="preserve">5.295,56 €</w:t>
            </w:r>
          </w:p>
        </w:tc>
        <w:tc>
          <w:tcPr>
            <w:tcBorders>
              <w:top w:val="single" w:color="000000" w:sz="1"/>
              <w:left w:val="single" w:color="000000" w:sz="1"/>
              <w:bottom w:val="single" w:color="000000" w:sz="1"/>
              <w:right w:val="single" w:color="000000" w:sz="1"/>
            </w:tcBorders>
            <w:shd w:fill="E8E8E8"/>
          </w:tcPr>
          <w:p>
            <w:pPr>
              <w:jc w:val="right"/>
            </w:pPr>
            <w:r>
              <w:rPr>
                <w:b/>
                <w:bCs/>
                <w:sz w:val="16"/>
                <w:szCs w:val="16"/>
              </w:rPr>
              <w:t xml:space="preserve">100,00%</w:t>
            </w:r>
          </w:p>
        </w:tc>
      </w:tr>
    </w:tbl>
    <w:p>
      <w:pPr>
        <w:spacing w:after="400"/>
      </w:pPr>
      <w:r>
        <w:t xml:space="preserve"/>
      </w:r>
    </w:p>
    <w:p>
      <w:pPr>
        <w:spacing w:after="600"/>
        <w:ind w:left="5500" w:right="200"/>
        <w:jc w:val="both"/>
      </w:pPr>
      <w:r>
        <w:rPr>
          <w:sz w:val="18"/>
          <w:szCs w:val="18"/>
        </w:rPr>
        <w:t xml:space="preserve">Aufgrund schwankender Einkünfte oder mangels pfändbarem Einkommen wird nur die Quote angeboten. Die pfändbaren Beträge werden nach der Quote von Monat zu Monat neu errechnet. Die Verteilung der Zahlungen an die Gläubiger erfolgt einmal jährlich. Die Bedingungen in der Anlage sind Bestandteil dieses Plans.</w:t>
      </w:r>
    </w:p>
    <w:p>
      <w:pPr>
        <w:spacing w:after="200"/>
      </w:pPr>
      <w:r>
        <w:rPr>
          <w:b/>
          <w:bCs/>
          <w:sz w:val="18"/>
          <w:szCs w:val="18"/>
        </w:rPr>
        <w:t xml:space="preserve">
Gesamtsumme aller Forderungen: 5.295,56 €</w:t>
      </w:r>
    </w:p>
    <w:p>
      <w:pPr>
        <w:spacing w:after="600"/>
      </w:pPr>
      <w:r>
        <w:rPr>
          <w:b/>
          <w:bCs/>
          <w:sz w:val="18"/>
          <w:szCs w:val="18"/>
        </w:rPr>
        <w:t xml:space="preserve">Durchschnittliche Quote: 100.00%</w:t>
      </w:r>
    </w:p>
    <w:p>
      <w:pPr>
        <w:spacing w:before="800"/>
        <w:jc w:val="center"/>
      </w:pPr>
      <w:r>
        <w:rPr>
          <w:i/>
          <w:iCs/>
          <w:sz w:val="18"/>
          <w:szCs w:val="18"/>
        </w:rPr>
        <w:t xml:space="preserve">
Erstellt von Thomas Scuric Rechtsanwälte</w:t>
      </w:r>
    </w:p>
    <w:p>
      <w:pPr>
        <w:spacing w:after="200"/>
        <w:jc w:val="center"/>
      </w:pPr>
      <w:r>
        <w:rPr>
          <w:i/>
          <w:iCs/>
          <w:sz w:val="18"/>
          <w:szCs w:val="18"/>
        </w:rPr>
        <w:t xml:space="preserve">Datum: 03.11.2025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Außergerichtlicher Schuldenbereinigungsplan</dc:title>
  <dc:creator>Thomas Scuric Rechtsanwälte</dc:creator>
  <cp:lastModifiedBy>Un-named</cp:lastModifiedBy>
  <cp:revision>1</cp:revision>
  <dcterms:created xsi:type="dcterms:W3CDTF">2025-11-03T14:28:13.914Z</dcterms:created>
  <dcterms:modified xsi:type="dcterms:W3CDTF">2025-11-03T14:28:13.914Z</dcterms:modified>
</cp:coreProperties>
</file>

<file path=docProps/custom.xml><?xml version="1.0" encoding="utf-8"?>
<Properties xmlns="http://schemas.openxmlformats.org/officeDocument/2006/custom-properties" xmlns:vt="http://schemas.openxmlformats.org/officeDocument/2006/docPropsVTypes"/>
</file>