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Wayfair.com — Technology Stack &amp; Infrastructure Analysis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Date:</w:t>
            </w:r>
          </w:p>
        </w:tc>
        <w:tc>
          <w:tcPr>
            <w:tcW w:type="dxa" w:w="88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March 18, 2026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Author:</w:t>
            </w:r>
          </w:p>
        </w:tc>
        <w:tc>
          <w:tcPr>
            <w:tcW w:type="dxa" w:w="88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Derek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Subject:</w:t>
            </w:r>
          </w:p>
        </w:tc>
        <w:tc>
          <w:tcPr>
            <w:tcW w:type="dxa" w:w="88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Passive reconnaissance and technology fingerprinting of wayfair.com</w:t>
            </w:r>
          </w:p>
        </w:tc>
      </w:tr>
      <w:tr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Methods:</w:t>
            </w:r>
          </w:p>
        </w:tc>
        <w:tc>
          <w:tcPr>
            <w:tcW w:type="dxa" w:w="88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DNS-over-HTTPS, HTTP header analysis, TXT record enumeration, GitHub OSINT, public tech profiles</w:t>
            </w:r>
          </w:p>
        </w:tc>
      </w:tr>
    </w:tbl>
    <w:p>
      <w:pPr>
        <w:pBdr>
          <w:bottom w:val="single" w:color="1B4F72" w:sz="4" w:space="4"/>
        </w:pBdr>
        <w:spacing w:after="160" w:before="120"/>
      </w:pPr>
    </w:p>
    <w:p>
      <w:pPr>
        <w:pStyle w:val="Heading1"/>
      </w:pPr>
      <w:r>
        <w:t xml:space="preserve">Executive Summary</w:t>
      </w:r>
    </w:p>
    <w:p>
      <w:pPr>
        <w:spacing w:after="80"/>
      </w:pPr>
      <w:r>
        <w:rPr>
          <w:sz w:val="19"/>
          <w:szCs w:val="19"/>
        </w:rPr>
        <w:t xml:space="preserve">Using only publicly available, passive reconnaissance techniques (no authentication, no active scanning), we mapped Wayfair’s complete external technology footprint. Wayfair operates a multi-CDN architecture (Cloudflare for storefront, Fastly for API/assets), runs on Google Cloud Platform with Kubernetes, and uses an Envoy service mesh across all endpoints. Their application stack is a React frontend backed by PHP (legacy monolith being decomposed), Java, Python, and C# microservices behind Apollo GraphQL Federation. DNS TXT records alone revealed 20+ SaaS integrations.</w:t>
      </w:r>
    </w:p>
    <w:p>
      <w:pPr>
        <w:pStyle w:val="Heading1"/>
      </w:pPr>
      <w:r>
        <w:t xml:space="preserve">Infrastructure Architecture</w:t>
      </w:r>
    </w:p>
    <w:p>
      <w:pPr>
        <w:spacing w:after="80"/>
        <w:jc w:val="center"/>
      </w:pPr>
      <w:r>
        <w:drawing>
          <wp:inline distT="0" distB="0" distL="0" distR="0">
            <wp:extent cx="5143500" cy="5448300"/>
            <wp:effectExtent t="0" r="0" b="0" l="0"/>
            <wp:docPr id="1" name="infra-diagram" descr="Architecture diagram showing Wayfair CDN, edge, GCP, and application layers" title="Wayfair Infra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Key Findings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CDN / Edge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Dual-CDN: Cloudflare (storefront WAF/DDoS) + Fastly (API via csnzoo.wayfair.map.fastly.net, static assets via assets.wfcdn.com). PerimeterX (HUMAN Security) for bot protection. HSTS preload enabled.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Service Mesh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Envoy proxy on all endpoints (server: envoy header universal). x-envoy-upstream-service-time exposed on every response.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Cloud / Infra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GCP primary (migrated 2020–2022). GKE/K8s, BigQuery, Vertex AI, Pub/Sub, Dataproc, Looker. Buildkite CI/CD. HashiCorp Vault for secrets. LB POPs in IAD, DSM, GRQ (Groningen, NL).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Application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React + Webpack + vanilla-extract frontend. Apollo GraphQL Federation API gateway. PHP legacy monolith (active decomposition). Java, Python, C# microservices. Hypernova SSR.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Data Platform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Custom “Scribe” event platform (20TB/day). BigQuery + Dataproc (Hive/Presto/Spark). Aerospike (low-latency KV). Kafka. RocksDB state machines.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DNS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Hybrid authoritative: NS1 (nsone.net) + custom wfrdns.com nameservers. DNSSEC enabled. Separate NS pools per TLD (.com, .ca, .co.uk, .de, .io).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Email Security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Proofpoint gateway. SPF includes M365, Google Workspace, Salesforce, Pardot. DMARC p=quarantine, pct=100, fo=1 — strong enforcement.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Security Tooling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Wiz (cloud security posture), Jamf (Apple MDM), OneTrust (privacy/consent), PerimeterX (bot), GlobalSign (TLS CA). Bug bounty at bugbounty@wayfair.com.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SaaS (from TXT)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Stripe (8+ verifications), DocuSign, Slack, Miro, Smartsheet, TeamViewer, Meta Workplace, Adobe IDP, Apple Business, Twilio, Cursor (AI code editor), OSSRH (Maven Central publishing).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Open Source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Two GitHub orgs (wayfair + wayfair-incubator). Notable: dociql (GraphQL docs), pylift (uplift modeling), node-froid (Apollo Federation), statsdcc (C++ StatsD), Backstage (dev portal), Tremor (event processing).</w:t>
            </w:r>
          </w:p>
        </w:tc>
      </w:tr>
    </w:tbl>
    <w:p>
      <w:pPr>
        <w:spacing w:after="60" w:before="120"/>
      </w:pPr>
    </w:p>
    <w:p>
      <w:pPr>
        <w:pStyle w:val="Heading1"/>
      </w:pPr>
      <w:r>
        <w:t xml:space="preserve">Notable Observations</w:t>
      </w:r>
    </w:p>
    <w:p>
      <w:pPr>
        <w:spacing w:after="60"/>
      </w:pPr>
      <w:r>
        <w:rPr>
          <w:b/>
          <w:bCs/>
          <w:sz w:val="19"/>
          <w:szCs w:val="19"/>
        </w:rPr>
        <w:t xml:space="preserve">Legacy artifacts: </w:t>
      </w:r>
      <w:r>
        <w:rPr>
          <w:sz w:val="19"/>
          <w:szCs w:val="19"/>
        </w:rPr>
        <w:t xml:space="preserve">CSN Stores naming persists in DNS (csnzoo.wayfair.map.fastly.net) and cookies (CSNUtId). The partners portal still runs nginx + PHP behind Varnish, with server_id headers leaking host identifiers.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Information leakage: </w:t>
      </w:r>
      <w:r>
        <w:rPr>
          <w:sz w:val="19"/>
          <w:szCs w:val="19"/>
        </w:rPr>
        <w:t xml:space="preserve">lb_id headers expose datacenter topology (iad1, dsm1, grq1). x-envoy-upstream-service-time reveals backend latency. The partners portal sets cookies with domain-wide scope and no secure flag on some values.</w:t>
      </w:r>
    </w:p>
    <w:p>
      <w:pPr>
        <w:spacing w:after="60"/>
      </w:pPr>
      <w:r>
        <w:rPr>
          <w:b/>
          <w:bCs/>
          <w:sz w:val="19"/>
          <w:szCs w:val="19"/>
        </w:rPr>
        <w:t xml:space="preserve">Modern investments: </w:t>
      </w:r>
      <w:r>
        <w:rPr>
          <w:sz w:val="19"/>
          <w:szCs w:val="19"/>
        </w:rPr>
        <w:t xml:space="preserve">Cursor domain verification suggests adoption of AI-assisted development. Wiz for cloud security posture management. Active GCP migration with Vertex AI for ML workloads. Buildkite for CI/CD replacing older tooling.</w:t>
      </w:r>
    </w:p>
    <w:p>
      <w:pPr>
        <w:pBdr>
          <w:top w:val="single" w:color="CCCCCC" w:sz="4" w:space="8"/>
        </w:pBdr>
        <w:spacing w:after="0" w:before="120"/>
      </w:pPr>
      <w:r>
        <w:rPr>
          <w:b/>
          <w:bCs/>
          <w:color w:val="999999"/>
          <w:sz w:val="16"/>
          <w:szCs w:val="16"/>
        </w:rPr>
        <w:t xml:space="preserve">Methodology: </w:t>
      </w:r>
      <w:r>
        <w:rPr>
          <w:color w:val="999999"/>
          <w:sz w:val="16"/>
          <w:szCs w:val="16"/>
        </w:rPr>
        <w:t xml:space="preserve">All data gathered from publicly accessible sources using passive techniques only. No active vulnerability scanning, authentication bypass, or intrusive testing was performed.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0"/>
    </w:pPr>
    <w:r>
      <w:rPr>
        <w:rFonts w:ascii="Arial" w:cs="Arial" w:eastAsia="Arial" w:hAnsi="Arial"/>
        <w:color w:val="999999"/>
        <w:sz w:val="14"/>
        <w:szCs w:val="14"/>
      </w:rPr>
      <w:t xml:space="preserve">Wayfair.com Technology Analysis</w:t>
    </w:r>
    <w:r>
      <w:rPr>
        <w:rFonts w:ascii="Arial" w:cs="Arial" w:eastAsia="Arial" w:hAnsi="Arial"/>
        <w:color w:val="999999"/>
        <w:sz w:val="14"/>
        <w:szCs w:val="14"/>
      </w:rPr>
      <w:t xml:space="preserve">	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1B4F72"/>
        <w:sz w:val="16"/>
        <w:szCs w:val="16"/>
      </w:rPr>
      <w:t xml:space="preserve">TECHNICAL MEMO</w:t>
    </w:r>
    <w:r>
      <w:rPr>
        <w:rFonts w:ascii="Arial" w:cs="Arial" w:eastAsia="Arial" w:hAnsi="Arial"/>
        <w:color w:val="999999"/>
        <w:sz w:val="14"/>
        <w:szCs w:val="14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B4F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3d353d3668c8bb6f95675393d2a9a6ef450220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2026-03-18T14:20:42.017Z</dcterms:created>
  <dcterms:modified xsi:type="dcterms:W3CDTF">2026-03-18T14:20:42.018Z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