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24"/>
        </w:rPr>
        <w:t>Logistic Regression With TensorFlow</w:t>
      </w:r>
    </w:p>
    <w:p>
      <w:pPr>
        <w:jc w:val="center"/>
      </w:pPr>
      <w:r>
        <w:rPr>
          <w:rFonts w:ascii="Times New Roman" w:hAnsi="Times New Roman"/>
          <w:sz w:val="24"/>
        </w:rPr>
        <w:t>Justan Dunn</w:t>
      </w:r>
    </w:p>
    <w:p>
      <w:pPr>
        <w:jc w:val="center"/>
      </w:pPr>
      <w:r>
        <w:rPr>
          <w:rFonts w:ascii="Times New Roman" w:hAnsi="Times New Roman"/>
          <w:sz w:val="24"/>
        </w:rPr>
        <w:t>Colorado State University Global</w:t>
      </w:r>
    </w:p>
    <w:p>
      <w:pPr>
        <w:jc w:val="center"/>
      </w:pPr>
      <w:r>
        <w:rPr>
          <w:rFonts w:ascii="Times New Roman" w:hAnsi="Times New Roman"/>
          <w:sz w:val="24"/>
        </w:rPr>
        <w:t>CSC580-1: Applying Machine Learning and Neural Networks</w:t>
      </w:r>
    </w:p>
    <w:p>
      <w:pPr>
        <w:jc w:val="center"/>
      </w:pPr>
      <w:r>
        <w:rPr>
          <w:rFonts w:ascii="Times New Roman" w:hAnsi="Times New Roman"/>
          <w:sz w:val="24"/>
        </w:rPr>
        <w:t>Dong Nguyen</w:t>
      </w:r>
    </w:p>
    <w:p>
      <w:pPr>
        <w:jc w:val="center"/>
      </w:pPr>
      <w:r>
        <w:rPr>
          <w:rFonts w:ascii="Times New Roman" w:hAnsi="Times New Roman"/>
          <w:sz w:val="24"/>
        </w:rPr>
        <w:t>August 17, 2026</w:t>
      </w:r>
    </w:p>
    <w:p>
      <w:r>
        <w:br w:type="page"/>
      </w:r>
    </w:p>
    <w:p>
      <w:pPr>
        <w:jc w:val="center"/>
      </w:pPr>
      <w:r>
        <w:rPr>
          <w:rFonts w:ascii="Times New Roman" w:hAnsi="Times New Roman"/>
          <w:b/>
          <w:sz w:val="24"/>
        </w:rPr>
        <w:t>Logistic Regression With TensorFlow</w:t>
      </w:r>
    </w:p>
    <w:p>
      <w:pPr>
        <w:pStyle w:val="Heading1"/>
      </w:pPr>
      <w:r>
        <w:t>Purpose and Data Generation</w:t>
      </w:r>
    </w:p>
    <w:p>
      <w:pPr>
        <w:ind w:firstLine="720"/>
      </w:pPr>
      <w:r>
        <w:t>This project implemented binary logistic regression in TensorFlow using 100 reproducible synthetic observations. Fifty class-zero points were sampled from a two-dimensional Gaussian distribution centered at (-1, -1), and fifty class-one points were sampled from a Gaussian distribution centered at (1, 1). Both distributions used identity covariance, so overlap was expected near the center. Figure 1 confirms that the classes are generally separated while retaining several ambiguous observations suitable for evaluating probabilistic classification.</w:t>
      </w:r>
    </w:p>
    <w:p>
      <w:pPr>
        <w:keepNext/>
        <w:spacing w:line="240" w:lineRule="auto"/>
      </w:pPr>
      <w:r>
        <w:rPr>
          <w:rFonts w:ascii="Times New Roman" w:hAnsi="Times New Roman"/>
          <w:b/>
          <w:sz w:val="24"/>
        </w:rPr>
        <w:t>Figure 1</w:t>
        <w:br/>
      </w:r>
      <w:r>
        <w:rPr>
          <w:rFonts w:ascii="Times New Roman" w:hAnsi="Times New Roman"/>
          <w:i/>
          <w:sz w:val="24"/>
        </w:rPr>
        <w:t>Synthetic Gaussian Class-Zero and Class-One Observations</w:t>
      </w:r>
    </w:p>
    <w:p>
      <w:pPr>
        <w:spacing w:after="120"/>
        <w:jc w:val="center"/>
      </w:pPr>
      <w:r>
        <w:drawing>
          <wp:inline xmlns:a="http://schemas.openxmlformats.org/drawingml/2006/main" xmlns:pic="http://schemas.openxmlformats.org/drawingml/2006/picture">
            <wp:extent cx="5120640" cy="4389120"/>
            <wp:docPr id="1" name="Picture 1"/>
            <wp:cNvGraphicFramePr>
              <a:graphicFrameLocks noChangeAspect="1"/>
            </wp:cNvGraphicFramePr>
            <a:graphic>
              <a:graphicData uri="http://schemas.openxmlformats.org/drawingml/2006/picture">
                <pic:pic>
                  <pic:nvPicPr>
                    <pic:cNvPr id="0" name="01_input_classes.png"/>
                    <pic:cNvPicPr/>
                  </pic:nvPicPr>
                  <pic:blipFill>
                    <a:blip r:embed="rId10"/>
                    <a:stretch>
                      <a:fillRect/>
                    </a:stretch>
                  </pic:blipFill>
                  <pic:spPr>
                    <a:xfrm>
                      <a:off x="0" y="0"/>
                      <a:ext cx="5120640" cy="4389120"/>
                    </a:xfrm>
                    <a:prstGeom prst="rect"/>
                  </pic:spPr>
                </pic:pic>
              </a:graphicData>
            </a:graphic>
          </wp:inline>
        </w:drawing>
      </w:r>
    </w:p>
    <w:p>
      <w:pPr>
        <w:pStyle w:val="Heading1"/>
      </w:pPr>
      <w:r>
        <w:t>TensorFlow Model</w:t>
      </w:r>
    </w:p>
    <w:p>
      <w:pPr>
        <w:ind w:firstLine="720"/>
      </w:pPr>
      <w:r>
        <w:t>The TensorFlow 2.21.0 graph accepted two-feature inputs and connected them to one sigmoid output. The sigmoid transformed the linear combination of inputs, weights, and bias into probabilities between zero and one. Binary cross-entropy quantified disagreement between probabilities and labels, and Adam optimization updated the parameters for 200 epochs. A TensorBoard callback wrote the graph and epoch summaries to the included logs directory. The learned weights were 1.870 and 2.619, with a bias of -0.036; both positive weights are consistent with class one occupying the upper-right region (TensorFlow, 2026).</w:t>
      </w:r>
    </w:p>
    <w:p>
      <w:pPr>
        <w:pStyle w:val="Heading1"/>
      </w:pPr>
      <w:r>
        <w:t>Predictions and Decision Boundary</w:t>
      </w:r>
    </w:p>
    <w:p>
      <w:pPr>
        <w:ind w:firstLine="720"/>
      </w:pPr>
      <w:r>
        <w:t>Probabilities of at least 0.50 were assigned to class one. The trained model achieved 94.0% accuracy and cross-entropy loss of 0.177, misclassifying 6 of 100 observations. Figure 2 overlays predicted classes and the 0.50 decision boundary on the data. Most points fall on the expected side of the line. The remaining mistakes occur primarily in the overlap region and represent reasonable uncertainty rather than a failure to learn the dominant pattern.</w:t>
      </w:r>
    </w:p>
    <w:p>
      <w:pPr>
        <w:keepNext/>
        <w:spacing w:line="240" w:lineRule="auto"/>
      </w:pPr>
      <w:r>
        <w:rPr>
          <w:rFonts w:ascii="Times New Roman" w:hAnsi="Times New Roman"/>
          <w:b/>
          <w:sz w:val="24"/>
        </w:rPr>
        <w:t>Figure 2</w:t>
        <w:br/>
      </w:r>
      <w:r>
        <w:rPr>
          <w:rFonts w:ascii="Times New Roman" w:hAnsi="Times New Roman"/>
          <w:i/>
          <w:sz w:val="24"/>
        </w:rPr>
        <w:t>Predicted Classes and the Learned Probability Boundary</w:t>
      </w:r>
    </w:p>
    <w:p>
      <w:pPr>
        <w:spacing w:after="120"/>
        <w:jc w:val="center"/>
      </w:pPr>
      <w:r>
        <w:drawing>
          <wp:inline xmlns:a="http://schemas.openxmlformats.org/drawingml/2006/main" xmlns:pic="http://schemas.openxmlformats.org/drawingml/2006/picture">
            <wp:extent cx="5212080" cy="4467497"/>
            <wp:docPr id="2" name="Picture 2"/>
            <wp:cNvGraphicFramePr>
              <a:graphicFrameLocks noChangeAspect="1"/>
            </wp:cNvGraphicFramePr>
            <a:graphic>
              <a:graphicData uri="http://schemas.openxmlformats.org/drawingml/2006/picture">
                <pic:pic>
                  <pic:nvPicPr>
                    <pic:cNvPr id="0" name="02_predictions_boundary.png"/>
                    <pic:cNvPicPr/>
                  </pic:nvPicPr>
                  <pic:blipFill>
                    <a:blip r:embed="rId11"/>
                    <a:stretch>
                      <a:fillRect/>
                    </a:stretch>
                  </pic:blipFill>
                  <pic:spPr>
                    <a:xfrm>
                      <a:off x="0" y="0"/>
                      <a:ext cx="5212080" cy="4467497"/>
                    </a:xfrm>
                    <a:prstGeom prst="rect"/>
                  </pic:spPr>
                </pic:pic>
              </a:graphicData>
            </a:graphic>
          </wp:inline>
        </w:drawing>
      </w:r>
    </w:p>
    <w:p>
      <w:pPr>
        <w:pStyle w:val="Heading1"/>
      </w:pPr>
      <w:r>
        <w:t>Training Behavior and Interpretation</w:t>
      </w:r>
    </w:p>
    <w:p>
      <w:pPr>
        <w:ind w:firstLine="720"/>
      </w:pPr>
      <w:r>
        <w:t>Figure 3 shows that cross-entropy declined quickly and then stabilized while accuracy approached its final level. This pattern indicates convergence rather than continued oscillation or divergence. Because the two generating distributions overlap, forcing perfect training accuracy would be undesirable: a much more flexible classifier could memorize noise without improving generalization. Logistic regression instead provides an interpretable linear boundary and calibrated probability structure appropriate for this synthetic problem.</w:t>
      </w:r>
    </w:p>
    <w:p>
      <w:pPr>
        <w:keepNext/>
        <w:spacing w:line="240" w:lineRule="auto"/>
      </w:pPr>
      <w:r>
        <w:rPr>
          <w:rFonts w:ascii="Times New Roman" w:hAnsi="Times New Roman"/>
          <w:b/>
          <w:sz w:val="24"/>
        </w:rPr>
        <w:t>Figure 3</w:t>
        <w:br/>
      </w:r>
      <w:r>
        <w:rPr>
          <w:rFonts w:ascii="Times New Roman" w:hAnsi="Times New Roman"/>
          <w:i/>
          <w:sz w:val="24"/>
        </w:rPr>
        <w:t>Cross-Entropy Loss and Accuracy Across Training Epochs</w:t>
      </w:r>
    </w:p>
    <w:p>
      <w:pPr>
        <w:spacing w:after="120"/>
        <w:jc w:val="center"/>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03_training_history.png"/>
                    <pic:cNvPicPr/>
                  </pic:nvPicPr>
                  <pic:blipFill>
                    <a:blip r:embed="rId12"/>
                    <a:stretch>
                      <a:fillRect/>
                    </a:stretch>
                  </pic:blipFill>
                  <pic:spPr>
                    <a:xfrm>
                      <a:off x="0" y="0"/>
                      <a:ext cx="5486400" cy="3429000"/>
                    </a:xfrm>
                    <a:prstGeom prst="rect"/>
                  </pic:spPr>
                </pic:pic>
              </a:graphicData>
            </a:graphic>
          </wp:inline>
        </w:drawing>
      </w:r>
    </w:p>
    <w:p>
      <w:pPr>
        <w:pStyle w:val="Heading1"/>
      </w:pPr>
      <w:r>
        <w:t>Conclusion</w:t>
      </w:r>
    </w:p>
    <w:p>
      <w:pPr>
        <w:ind w:firstLine="720"/>
      </w:pPr>
      <w:r>
        <w:t>The TensorFlow logistic-regression model correctly represented the assignment's binary classification workflow from data creation through training, prediction, visualization, and summary logging. Its 94.0% accuracy, low cross-entropy, and correctly oriented boundary demonstrate strong performance while acknowledging unavoidable Gaussian overlap. The implementation also remains reproducible through fixed seeds, recorded package version, saved evidence, and TensorBoard event logs.</w:t>
      </w:r>
    </w:p>
    <w:p>
      <w:r>
        <w:br w:type="page"/>
      </w:r>
    </w:p>
    <w:p>
      <w:pPr>
        <w:pStyle w:val="Heading1"/>
      </w:pPr>
      <w:r>
        <w:t>References</w:t>
      </w:r>
    </w:p>
    <w:p>
      <w:pPr>
        <w:ind w:left="720" w:hanging="720"/>
      </w:pPr>
      <w:r>
        <w:rPr>
          <w:rFonts w:ascii="Times New Roman" w:hAnsi="Times New Roman"/>
          <w:i w:val="0"/>
          <w:sz w:val="24"/>
        </w:rPr>
        <w:t xml:space="preserve">TensorFlow. (2026). </w:t>
      </w:r>
      <w:r>
        <w:rPr>
          <w:rFonts w:ascii="Times New Roman" w:hAnsi="Times New Roman"/>
          <w:i/>
          <w:sz w:val="24"/>
        </w:rPr>
        <w:t>tf.keras API</w:t>
      </w:r>
      <w:r>
        <w:rPr>
          <w:rFonts w:ascii="Times New Roman" w:hAnsi="Times New Roman"/>
          <w:i w:val="0"/>
          <w:sz w:val="24"/>
        </w:rPr>
        <w:t>. https://www.tensorflow.org/api_docs/python/tf/keras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Times New Roman" w:hAnsi="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Logistic Regression With TensorFlow</dc:title>
  <dc:subject>CSC580 Module 4 Critical Thinking Assignment, Option 2</dc:subject>
  <dc:creator>Justan Dunn</dc:creator>
  <cp:keywords/>
  <dc:description>generated by python-docx</dc:description>
  <cp:lastModifiedBy/>
  <cp:revision>1</cp:revision>
  <dcterms:created xsi:type="dcterms:W3CDTF">2013-12-23T23:15:00Z</dcterms:created>
  <dcterms:modified xsi:type="dcterms:W3CDTF">2013-12-23T23:15:00Z</dcterms:modified>
  <cp:category/>
</cp:coreProperties>
</file>