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6213E">
      <w:pPr>
        <w:spacing w:line="480" w:lineRule="auto"/>
        <w:rPr>
          <w:rFonts w:ascii="Times New Roman" w:hAnsi="Times New Roman"/>
          <w:sz w:val="24"/>
          <w:szCs w:val="24"/>
        </w:rPr>
      </w:pPr>
    </w:p>
    <w:p w14:paraId="68B71D8A" w14:textId="77777777" w:rsidR="001040EC" w:rsidRPr="000E6E8A" w:rsidRDefault="001040EC" w:rsidP="0006213E">
      <w:pPr>
        <w:spacing w:line="480" w:lineRule="auto"/>
        <w:rPr>
          <w:rFonts w:ascii="Times New Roman" w:hAnsi="Times New Roman"/>
          <w:sz w:val="24"/>
          <w:szCs w:val="24"/>
        </w:rPr>
      </w:pPr>
    </w:p>
    <w:p w14:paraId="53F51804" w14:textId="77777777" w:rsidR="00E4761C" w:rsidRPr="000E6E8A" w:rsidRDefault="00E4761C" w:rsidP="0006213E">
      <w:pPr>
        <w:spacing w:line="480" w:lineRule="auto"/>
        <w:jc w:val="center"/>
        <w:rPr>
          <w:rFonts w:ascii="Times New Roman" w:hAnsi="Times New Roman"/>
          <w:sz w:val="24"/>
          <w:szCs w:val="24"/>
        </w:rPr>
      </w:pPr>
    </w:p>
    <w:p w14:paraId="7CA725F8" w14:textId="77777777" w:rsidR="006C3ABB" w:rsidRPr="000E6E8A" w:rsidRDefault="006C3ABB" w:rsidP="0006213E">
      <w:pPr>
        <w:spacing w:after="0" w:line="480" w:lineRule="auto"/>
        <w:rPr>
          <w:rFonts w:ascii="Times New Roman" w:hAnsi="Times New Roman"/>
          <w:sz w:val="24"/>
          <w:szCs w:val="24"/>
        </w:rPr>
      </w:pPr>
    </w:p>
    <w:p w14:paraId="3368971A" w14:textId="77777777" w:rsidR="00C51525" w:rsidRPr="000E6E8A" w:rsidRDefault="00C51525" w:rsidP="0006213E">
      <w:pPr>
        <w:spacing w:after="0" w:line="480" w:lineRule="auto"/>
        <w:rPr>
          <w:rStyle w:val="fnt0"/>
          <w:rFonts w:ascii="Times New Roman" w:hAnsi="Times New Roman"/>
          <w:sz w:val="24"/>
          <w:szCs w:val="24"/>
        </w:rPr>
      </w:pPr>
    </w:p>
    <w:p w14:paraId="4E798B99" w14:textId="77777777" w:rsidR="006C3ABB" w:rsidRPr="000E6E8A" w:rsidRDefault="006C3ABB" w:rsidP="0006213E">
      <w:pPr>
        <w:spacing w:after="0" w:line="480" w:lineRule="auto"/>
        <w:rPr>
          <w:rStyle w:val="fnt0"/>
          <w:rFonts w:ascii="Times New Roman" w:hAnsi="Times New Roman"/>
          <w:sz w:val="24"/>
          <w:szCs w:val="24"/>
        </w:rPr>
      </w:pPr>
    </w:p>
    <w:p w14:paraId="27ED4D8B" w14:textId="77777777" w:rsidR="006C3ABB" w:rsidRPr="000E6E8A" w:rsidRDefault="006C3ABB" w:rsidP="0006213E">
      <w:pPr>
        <w:spacing w:after="0" w:line="480" w:lineRule="auto"/>
        <w:jc w:val="center"/>
        <w:rPr>
          <w:rStyle w:val="fnt0"/>
          <w:rFonts w:ascii="Times New Roman" w:hAnsi="Times New Roman"/>
          <w:sz w:val="24"/>
          <w:szCs w:val="24"/>
        </w:rPr>
      </w:pPr>
    </w:p>
    <w:p w14:paraId="2028141C" w14:textId="4D7CC537" w:rsidR="008728FC" w:rsidRPr="008728FC" w:rsidRDefault="00D5695F" w:rsidP="0006213E">
      <w:pPr>
        <w:spacing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C27474">
        <w:rPr>
          <w:rStyle w:val="fnt0"/>
          <w:rFonts w:ascii="Times New Roman" w:hAnsi="Times New Roman"/>
          <w:b/>
          <w:bCs/>
          <w:sz w:val="24"/>
          <w:szCs w:val="24"/>
        </w:rPr>
        <w:t>2</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C27474">
        <w:rPr>
          <w:rStyle w:val="fnt0"/>
          <w:rFonts w:ascii="Times New Roman" w:hAnsi="Times New Roman"/>
          <w:b/>
          <w:bCs/>
          <w:sz w:val="24"/>
          <w:szCs w:val="24"/>
        </w:rPr>
        <w:t xml:space="preserve">The Five </w:t>
      </w:r>
      <w:proofErr w:type="gramStart"/>
      <w:r w:rsidR="00C27474">
        <w:rPr>
          <w:rStyle w:val="fnt0"/>
          <w:rFonts w:ascii="Times New Roman" w:hAnsi="Times New Roman"/>
          <w:b/>
          <w:bCs/>
          <w:sz w:val="24"/>
          <w:szCs w:val="24"/>
        </w:rPr>
        <w:t>C’s</w:t>
      </w:r>
      <w:proofErr w:type="gramEnd"/>
      <w:r w:rsidR="00C27474">
        <w:rPr>
          <w:rStyle w:val="fnt0"/>
          <w:rFonts w:ascii="Times New Roman" w:hAnsi="Times New Roman"/>
          <w:b/>
          <w:bCs/>
          <w:sz w:val="24"/>
          <w:szCs w:val="24"/>
        </w:rPr>
        <w:t xml:space="preserve"> of Ethical Data Science</w:t>
      </w:r>
    </w:p>
    <w:p w14:paraId="55C4829F" w14:textId="240AD3F5" w:rsidR="000D23D2" w:rsidRPr="000E6E8A" w:rsidRDefault="000D23D2" w:rsidP="0006213E">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6213E">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7362F76D" w:rsidR="00C51525" w:rsidRPr="000E6E8A" w:rsidRDefault="0077759E" w:rsidP="0006213E">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715AAB" w:rsidRPr="00715AAB">
        <w:rPr>
          <w:rStyle w:val="fnt0"/>
          <w:rFonts w:ascii="Times New Roman" w:hAnsi="Times New Roman"/>
          <w:sz w:val="24"/>
          <w:szCs w:val="24"/>
        </w:rPr>
        <w:t>Ethical Leadership in Software Development</w:t>
      </w:r>
    </w:p>
    <w:p w14:paraId="1C4C615C" w14:textId="197AE01E" w:rsidR="00C51525" w:rsidRPr="000E6E8A" w:rsidRDefault="00810788"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446E" w:rsidRPr="00B7446E">
        <w:rPr>
          <w:rStyle w:val="fnt0"/>
          <w:rFonts w:ascii="Times New Roman" w:hAnsi="Times New Roman"/>
          <w:sz w:val="24"/>
          <w:szCs w:val="24"/>
        </w:rPr>
        <w:t>Dong Nguyen</w:t>
      </w:r>
    </w:p>
    <w:p w14:paraId="393FC42A" w14:textId="760B0ED8" w:rsidR="00C51525" w:rsidRPr="000E6E8A" w:rsidRDefault="00C518E2" w:rsidP="0006213E">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5/</w:t>
      </w:r>
      <w:r w:rsidR="00C27474">
        <w:rPr>
          <w:rStyle w:val="fnt0"/>
          <w:rFonts w:ascii="Times New Roman" w:hAnsi="Times New Roman"/>
          <w:sz w:val="24"/>
          <w:szCs w:val="24"/>
        </w:rPr>
        <w:t>25</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6213E">
      <w:pPr>
        <w:spacing w:line="480" w:lineRule="auto"/>
        <w:jc w:val="center"/>
        <w:rPr>
          <w:rFonts w:ascii="Times New Roman" w:hAnsi="Times New Roman"/>
          <w:sz w:val="24"/>
          <w:szCs w:val="24"/>
        </w:rPr>
      </w:pPr>
    </w:p>
    <w:p w14:paraId="0964FB7C" w14:textId="77777777" w:rsidR="00C51525" w:rsidRPr="000E6E8A" w:rsidRDefault="00C51525" w:rsidP="0006213E">
      <w:pPr>
        <w:spacing w:line="480" w:lineRule="auto"/>
        <w:jc w:val="center"/>
        <w:rPr>
          <w:rFonts w:ascii="Times New Roman" w:hAnsi="Times New Roman"/>
          <w:sz w:val="24"/>
          <w:szCs w:val="24"/>
        </w:rPr>
      </w:pPr>
    </w:p>
    <w:p w14:paraId="021078E0" w14:textId="77777777" w:rsidR="00C51525" w:rsidRPr="000E6E8A" w:rsidRDefault="00C51525" w:rsidP="0006213E">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C27474">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6F649A8D" w:rsidR="00084D24" w:rsidRDefault="00C27474" w:rsidP="00C27474">
      <w:pPr>
        <w:spacing w:line="480" w:lineRule="auto"/>
        <w:ind w:firstLine="720"/>
        <w:rPr>
          <w:rFonts w:ascii="Times New Roman" w:hAnsi="Times New Roman"/>
          <w:sz w:val="24"/>
          <w:szCs w:val="24"/>
        </w:rPr>
      </w:pPr>
      <w:r w:rsidRPr="00C27474">
        <w:rPr>
          <w:rFonts w:ascii="Times New Roman" w:hAnsi="Times New Roman"/>
          <w:sz w:val="24"/>
          <w:szCs w:val="24"/>
        </w:rPr>
        <w:t>Ethical debt is a growing concern in software engineering, especially with the proliferation of artificial intelligence and data-driven applications. Like technical debt, ethical debt accrues when software is deployed without sufficient consideration of ethical implications, creating downstream risks to individuals and society. This paper explores the nature of ethical debt through examples in the insurance industry and software engineering more broadly. Key areas include algorithmic bias in underwriting decisions and opaque data-sharing practices. The consequences of ignoring ethical design principles include reputational damage, regulatory backlash, and harm to vulnerable populations. Practical remedies include ethical audits, inclusive data governance, and transparent model documentation.</w:t>
      </w:r>
    </w:p>
    <w:p w14:paraId="25E81E11" w14:textId="04BF34E5" w:rsidR="00D5695F" w:rsidRPr="000E6E8A" w:rsidRDefault="00084D24" w:rsidP="0006213E">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C27474" w:rsidRPr="00C27474">
        <w:rPr>
          <w:rStyle w:val="fnt0"/>
          <w:rFonts w:ascii="Times New Roman" w:hAnsi="Times New Roman"/>
          <w:b/>
          <w:bCs/>
          <w:sz w:val="24"/>
          <w:szCs w:val="24"/>
        </w:rPr>
        <w:lastRenderedPageBreak/>
        <w:t xml:space="preserve">Module 2: The Five </w:t>
      </w:r>
      <w:proofErr w:type="gramStart"/>
      <w:r w:rsidR="00C27474" w:rsidRPr="00C27474">
        <w:rPr>
          <w:rStyle w:val="fnt0"/>
          <w:rFonts w:ascii="Times New Roman" w:hAnsi="Times New Roman"/>
          <w:b/>
          <w:bCs/>
          <w:sz w:val="24"/>
          <w:szCs w:val="24"/>
        </w:rPr>
        <w:t>C’s</w:t>
      </w:r>
      <w:proofErr w:type="gramEnd"/>
      <w:r w:rsidR="00C27474" w:rsidRPr="00C27474">
        <w:rPr>
          <w:rStyle w:val="fnt0"/>
          <w:rFonts w:ascii="Times New Roman" w:hAnsi="Times New Roman"/>
          <w:b/>
          <w:bCs/>
          <w:sz w:val="24"/>
          <w:szCs w:val="24"/>
        </w:rPr>
        <w:t xml:space="preserve"> of Ethical Data Science</w:t>
      </w:r>
    </w:p>
    <w:p w14:paraId="6D7D24BF" w14:textId="2B235866" w:rsidR="00AF572D" w:rsidRDefault="00C27474" w:rsidP="0006213E">
      <w:pPr>
        <w:pStyle w:val="NormalWeb"/>
        <w:spacing w:before="0" w:beforeAutospacing="0" w:after="0" w:afterAutospacing="0" w:line="480" w:lineRule="auto"/>
        <w:ind w:firstLine="720"/>
      </w:pPr>
      <w:r w:rsidRPr="00C27474">
        <w:t xml:space="preserve">In modern software development, speed and scalability often take precedence over ethical deliberation. This results in what scholars refer to as ethical debt—an accumulation of unresolved ethical issues </w:t>
      </w:r>
      <w:proofErr w:type="gramStart"/>
      <w:r w:rsidRPr="00C27474">
        <w:t>similar to</w:t>
      </w:r>
      <w:proofErr w:type="gramEnd"/>
      <w:r w:rsidRPr="00C27474">
        <w:t xml:space="preserve"> how technical debt represents compromises in code quality for short-term gain (Sculley et al., 2015). Ethical debt becomes especially critical in domains such as insurance, where decisions powered by software can significantly impact individual well-being, financial access, and long-term equity. In this paper, we explore what ethical debt entails, present two real-world examples from the insurance industry and software </w:t>
      </w:r>
      <w:r w:rsidRPr="00C27474">
        <w:t>engineering and</w:t>
      </w:r>
      <w:r w:rsidRPr="00C27474">
        <w:t xml:space="preserve"> discuss the severe consequences that may arise from neglecting these ethical responsibilities.</w:t>
      </w:r>
    </w:p>
    <w:p w14:paraId="382F96B4" w14:textId="2BD9A780" w:rsidR="00653480" w:rsidRPr="00653480" w:rsidRDefault="00C27474" w:rsidP="0006213E">
      <w:pPr>
        <w:pStyle w:val="NormalWeb"/>
        <w:spacing w:after="0" w:line="480" w:lineRule="auto"/>
        <w:jc w:val="center"/>
        <w:rPr>
          <w:b/>
          <w:bCs/>
        </w:rPr>
      </w:pPr>
      <w:r w:rsidRPr="00C27474">
        <w:rPr>
          <w:b/>
          <w:bCs/>
        </w:rPr>
        <w:t>Defining Ethical Debt</w:t>
      </w:r>
    </w:p>
    <w:p w14:paraId="33BFC99D" w14:textId="77777777" w:rsidR="00C27474" w:rsidRDefault="00C27474" w:rsidP="00C27474">
      <w:pPr>
        <w:pStyle w:val="NormalWeb"/>
        <w:spacing w:before="0" w:beforeAutospacing="0" w:after="0" w:afterAutospacing="0" w:line="480" w:lineRule="auto"/>
        <w:ind w:firstLine="360"/>
      </w:pPr>
      <w:r w:rsidRPr="00C27474">
        <w:t>Ethical debt occurs when ethical implications are either poorly understood or outright ignored during the software development lifecycle. This can arise from insufficient foresight, a lack of diversity in development teams, or pressure to release products ahead of schedule. Unlike technical debt—which is typically managed through refactoring and documentation—ethical debt is more ambiguous and harder to quantify. It requires proactive consideration of user rights, data privacy, fairness, and long-term social impacts (Crockett et al., 2022).</w:t>
      </w:r>
    </w:p>
    <w:p w14:paraId="3A74AD71" w14:textId="08834A52" w:rsidR="00BE4CAD" w:rsidRPr="00BE4CAD" w:rsidRDefault="00C27474" w:rsidP="00C27474">
      <w:pPr>
        <w:pStyle w:val="NormalWeb"/>
        <w:spacing w:before="0" w:beforeAutospacing="0" w:after="0" w:afterAutospacing="0" w:line="480" w:lineRule="auto"/>
        <w:rPr>
          <w:b/>
          <w:bCs/>
        </w:rPr>
      </w:pPr>
      <w:r w:rsidRPr="00C27474">
        <w:rPr>
          <w:b/>
          <w:bCs/>
        </w:rPr>
        <w:t>Example 1: Algorithmic Bias in Insurance Underwriting</w:t>
      </w:r>
    </w:p>
    <w:p w14:paraId="49B97224" w14:textId="77777777" w:rsidR="00C27474" w:rsidRDefault="00C27474" w:rsidP="00C27474">
      <w:pPr>
        <w:pStyle w:val="NormalWeb"/>
        <w:spacing w:after="0" w:line="480" w:lineRule="auto"/>
        <w:ind w:firstLine="360"/>
      </w:pPr>
      <w:r>
        <w:t>One notable example of ethical debt appears in the use of machine learning models for automated insurance underwriting. Several major insurers have implemented algorithms that assess applicant risk based on data ranging from credit scores to zip codes and social media activity. These systems, while efficient, have been found to produce discriminatory outcomes, especially for marginalized groups (O’Neil, 2016).</w:t>
      </w:r>
    </w:p>
    <w:p w14:paraId="4E5D110D" w14:textId="778BD00D" w:rsidR="00C27474" w:rsidRDefault="00C27474" w:rsidP="00C27474">
      <w:pPr>
        <w:pStyle w:val="NormalWeb"/>
        <w:spacing w:after="0" w:line="480" w:lineRule="auto"/>
        <w:ind w:firstLine="360"/>
      </w:pPr>
      <w:r>
        <w:lastRenderedPageBreak/>
        <w:t>A 2020 investigation revealed that an algorithm used by an unnamed U.S. health insurer charged Black policyholders more than white counterparts with identical medical histories (Angwin &amp; Larson, 2020). This disparity was not programmed intentionally but emerged from biased training data and unmonitored model drift. Failing to address these ethical pitfalls early resulted in regulatory scrutiny, lawsuits, and a loss of public trust—hallmarks of ethical debt left unchecked.</w:t>
      </w:r>
    </w:p>
    <w:p w14:paraId="0EEC2B4E" w14:textId="190ACCBC" w:rsidR="000524BA" w:rsidRDefault="00C27474" w:rsidP="00C27474">
      <w:pPr>
        <w:pStyle w:val="NormalWeb"/>
        <w:spacing w:after="0" w:line="480" w:lineRule="auto"/>
        <w:ind w:firstLine="360"/>
      </w:pPr>
      <w:r>
        <w:t>Potential Consequences: Beyond reputational damage, such practices may violate civil rights laws, expose companies to fines, and perpetuate systemic inequities in healthcare access. It also erodes consumer trust in automated decision-making and AI adoption in general.</w:t>
      </w:r>
    </w:p>
    <w:p w14:paraId="197573A8" w14:textId="2F72F943" w:rsidR="000524BA" w:rsidRPr="000524BA" w:rsidRDefault="00C27474" w:rsidP="0006213E">
      <w:pPr>
        <w:pStyle w:val="NormalWeb"/>
        <w:spacing w:after="0" w:line="480" w:lineRule="auto"/>
        <w:rPr>
          <w:b/>
          <w:bCs/>
        </w:rPr>
      </w:pPr>
      <w:r w:rsidRPr="00C27474">
        <w:rPr>
          <w:b/>
          <w:bCs/>
        </w:rPr>
        <w:t>Example 2: Opaque Consent and Data Sharing in Insurtech Platforms</w:t>
      </w:r>
    </w:p>
    <w:p w14:paraId="252B7C94" w14:textId="77777777" w:rsidR="00C27474" w:rsidRDefault="00C27474" w:rsidP="00C27474">
      <w:pPr>
        <w:pStyle w:val="NormalWeb"/>
        <w:spacing w:after="0" w:line="480" w:lineRule="auto"/>
        <w:ind w:firstLine="720"/>
      </w:pPr>
      <w:r>
        <w:t xml:space="preserve">The second case involves opaque consent practices in data collection by modern </w:t>
      </w:r>
      <w:proofErr w:type="spellStart"/>
      <w:r>
        <w:t>insurtech</w:t>
      </w:r>
      <w:proofErr w:type="spellEnd"/>
      <w:r>
        <w:t xml:space="preserve"> companies. </w:t>
      </w:r>
      <w:proofErr w:type="gramStart"/>
      <w:r>
        <w:t>In an effort to</w:t>
      </w:r>
      <w:proofErr w:type="gramEnd"/>
      <w:r>
        <w:t xml:space="preserve"> offer personalized pricing and predictive analytics, some platforms harvest behavioral data through mobile apps, including GPS location, driving patterns, and lifestyle data. While terms of use often mention this, they are written in dense legal language, and most users are unaware of what they’ve agreed to share (Emanuel &amp; Wachter, 2021).</w:t>
      </w:r>
    </w:p>
    <w:p w14:paraId="3CF2D44A" w14:textId="0E7B2447" w:rsidR="00C27474" w:rsidRDefault="00C27474" w:rsidP="00C27474">
      <w:pPr>
        <w:pStyle w:val="NormalWeb"/>
        <w:spacing w:after="0" w:line="480" w:lineRule="auto"/>
        <w:ind w:firstLine="720"/>
      </w:pPr>
      <w:r>
        <w:t xml:space="preserve">This creates an ethical dilemma: while the data allows for more precise underwriting and fraud detection, it does so by undermining user autonomy and informed consent. Ethical debt accrues when developers </w:t>
      </w:r>
      <w:proofErr w:type="gramStart"/>
      <w:r>
        <w:t>optimize for</w:t>
      </w:r>
      <w:proofErr w:type="gramEnd"/>
      <w:r>
        <w:t xml:space="preserve"> functionality and performance without designing meaningful consent mechanisms.</w:t>
      </w:r>
    </w:p>
    <w:p w14:paraId="49E2A269" w14:textId="438E161B" w:rsidR="000524BA" w:rsidRDefault="00C27474" w:rsidP="00C27474">
      <w:pPr>
        <w:pStyle w:val="NormalWeb"/>
        <w:spacing w:after="0" w:line="480" w:lineRule="auto"/>
        <w:ind w:firstLine="720"/>
      </w:pPr>
      <w:r>
        <w:lastRenderedPageBreak/>
        <w:t>Potential Consequences: The misuse of data—especially in contexts like health or life insurance—could lead to discriminatory pricing, privacy breaches, and the commodification of deeply personal behavioral patterns. Legal frameworks like the GDPR and California's CCPA have emerged in response to these abuses, further increasing the stakes for developers.</w:t>
      </w:r>
    </w:p>
    <w:p w14:paraId="167D80B2" w14:textId="094510B4" w:rsidR="000524BA" w:rsidRPr="000524BA" w:rsidRDefault="00C27474" w:rsidP="0006213E">
      <w:pPr>
        <w:pStyle w:val="NormalWeb"/>
        <w:spacing w:after="0" w:line="480" w:lineRule="auto"/>
        <w:jc w:val="center"/>
        <w:rPr>
          <w:b/>
          <w:bCs/>
        </w:rPr>
      </w:pPr>
      <w:r w:rsidRPr="00C27474">
        <w:rPr>
          <w:b/>
          <w:bCs/>
        </w:rPr>
        <w:t>Remedies and Mitigation Strategies</w:t>
      </w:r>
    </w:p>
    <w:p w14:paraId="0420003E" w14:textId="33C245C8" w:rsidR="00C27474" w:rsidRDefault="00C27474" w:rsidP="00C27474">
      <w:pPr>
        <w:pStyle w:val="NormalWeb"/>
        <w:spacing w:after="0" w:line="480" w:lineRule="auto"/>
        <w:ind w:firstLine="720"/>
      </w:pPr>
      <w:r>
        <w:t xml:space="preserve">Mitigating ethical debt requires systemic changes in how </w:t>
      </w:r>
      <w:proofErr w:type="gramStart"/>
      <w:r>
        <w:t>software</w:t>
      </w:r>
      <w:proofErr w:type="gramEnd"/>
      <w:r>
        <w:t xml:space="preserve"> is developed and deployed:</w:t>
      </w:r>
    </w:p>
    <w:p w14:paraId="149E8380" w14:textId="60623CC5" w:rsidR="00C27474" w:rsidRDefault="00C27474" w:rsidP="00C27474">
      <w:pPr>
        <w:pStyle w:val="NormalWeb"/>
        <w:numPr>
          <w:ilvl w:val="0"/>
          <w:numId w:val="29"/>
        </w:numPr>
        <w:spacing w:after="0" w:line="480" w:lineRule="auto"/>
      </w:pPr>
      <w:r>
        <w:t>Ethical Audits: Like security audits, ethical audits assess potential harms from software and recommend design changes before deployment. These reviews can catch issues like data bias, opaque logic, and discriminatory outputs.</w:t>
      </w:r>
    </w:p>
    <w:p w14:paraId="26AC113C" w14:textId="70C716D8" w:rsidR="00C27474" w:rsidRDefault="00C27474" w:rsidP="00C27474">
      <w:pPr>
        <w:pStyle w:val="NormalWeb"/>
        <w:numPr>
          <w:ilvl w:val="0"/>
          <w:numId w:val="29"/>
        </w:numPr>
        <w:spacing w:after="0" w:line="480" w:lineRule="auto"/>
      </w:pPr>
      <w:r>
        <w:t>Inclusive Design Teams: Research shows that diverse development teams are more likely to flag ethical risks earlier in the lifecycle (Nissenbaum, 2010). Inclusive voices lead to more representative datasets and less biased algorithms.</w:t>
      </w:r>
    </w:p>
    <w:p w14:paraId="00D40220" w14:textId="77777777" w:rsidR="00C27474" w:rsidRDefault="00C27474" w:rsidP="00C27474">
      <w:pPr>
        <w:pStyle w:val="NormalWeb"/>
        <w:numPr>
          <w:ilvl w:val="0"/>
          <w:numId w:val="29"/>
        </w:numPr>
        <w:spacing w:after="0" w:line="480" w:lineRule="auto"/>
      </w:pPr>
      <w:r>
        <w:t>Model Cards and Datasheets: Inspired by nutritional labels, model cards explain how machine learning models were trained, what data was used, and their limitations (Mitchell et al., 2019). These tools increase transparency and accountability.</w:t>
      </w:r>
    </w:p>
    <w:p w14:paraId="5D8649A9" w14:textId="488A6867" w:rsidR="00793E92" w:rsidRDefault="00C27474" w:rsidP="00C27474">
      <w:pPr>
        <w:pStyle w:val="NormalWeb"/>
        <w:numPr>
          <w:ilvl w:val="0"/>
          <w:numId w:val="29"/>
        </w:numPr>
        <w:spacing w:after="0" w:line="480" w:lineRule="auto"/>
      </w:pPr>
      <w:r>
        <w:t>Dynamic Consent: Rather than one-time agreement to terms, dynamic consent platforms allow users to manage data permissions actively. This is particularly useful in healthcare and insurance where data sensitivity is high</w:t>
      </w:r>
      <w:r>
        <w:t>.</w:t>
      </w:r>
    </w:p>
    <w:p w14:paraId="3F1CE731" w14:textId="144955E9" w:rsidR="00DB2511" w:rsidRPr="00DB2511" w:rsidRDefault="00793E92" w:rsidP="00793E92">
      <w:pPr>
        <w:pStyle w:val="NormalWeb"/>
        <w:spacing w:before="0" w:beforeAutospacing="0" w:after="0" w:afterAutospacing="0" w:line="480" w:lineRule="auto"/>
        <w:jc w:val="center"/>
        <w:rPr>
          <w:b/>
          <w:bCs/>
        </w:rPr>
      </w:pPr>
      <w:r>
        <w:br w:type="page"/>
      </w:r>
      <w:r w:rsidR="00DB2511" w:rsidRPr="00DB2511">
        <w:rPr>
          <w:b/>
          <w:bCs/>
        </w:rPr>
        <w:lastRenderedPageBreak/>
        <w:t>Conclusion</w:t>
      </w:r>
    </w:p>
    <w:p w14:paraId="0E16097D" w14:textId="276959CB" w:rsidR="00BE4CAD" w:rsidRDefault="00BA569F" w:rsidP="0006213E">
      <w:pPr>
        <w:pStyle w:val="NormalWeb"/>
        <w:spacing w:before="0" w:after="0" w:line="480" w:lineRule="auto"/>
        <w:ind w:firstLine="720"/>
      </w:pPr>
      <w:r w:rsidRPr="00BA569F">
        <w:t>Ethical debt is an urgent challenge in software engineering—one that becomes especially consequential in sensitive domains like insurance. As algorithms make more decisions that affect people’s lives, failing to address ethical concerns during development incurs not only legal or technical risks but moral ones. Through case studies in underwriting and data privacy, we see how easily companies can fall into ethical debt—and how costly it can be. With rigorous ethical design, proactive auditing, and transparent practices, developers and organizations can build systems that are both powerful and principled.</w:t>
      </w:r>
    </w:p>
    <w:p w14:paraId="460F1461" w14:textId="6099F9EE" w:rsidR="00DB2511" w:rsidRPr="00DB2511" w:rsidRDefault="00DB2511" w:rsidP="0006213E">
      <w:pPr>
        <w:pStyle w:val="NormalWeb"/>
        <w:spacing w:before="0" w:after="0" w:line="480" w:lineRule="auto"/>
        <w:ind w:firstLine="720"/>
        <w:jc w:val="center"/>
        <w:rPr>
          <w:b/>
          <w:bCs/>
        </w:rPr>
      </w:pPr>
      <w:r>
        <w:br w:type="page"/>
      </w:r>
      <w:r w:rsidRPr="00DB2511">
        <w:rPr>
          <w:b/>
          <w:bCs/>
        </w:rPr>
        <w:lastRenderedPageBreak/>
        <w:t>References</w:t>
      </w:r>
    </w:p>
    <w:p w14:paraId="3B68C445" w14:textId="77777777" w:rsidR="00BA569F" w:rsidRDefault="00BA569F" w:rsidP="00BA569F">
      <w:pPr>
        <w:pStyle w:val="NormalWeb"/>
        <w:spacing w:after="0" w:line="480" w:lineRule="auto"/>
      </w:pPr>
      <w:r>
        <w:t>Angwin, J., &amp; Larson, J. (2020). Machine bias: There’s software used across the country to predict future criminals. And it’s biased against Blacks. ProPublica. https://www.propublica.org/article/machine-bias-risk-assessments-in-criminal-sentencing</w:t>
      </w:r>
    </w:p>
    <w:p w14:paraId="1A1FD315" w14:textId="77777777" w:rsidR="00BA569F" w:rsidRDefault="00BA569F" w:rsidP="00BA569F">
      <w:pPr>
        <w:pStyle w:val="NormalWeb"/>
        <w:spacing w:after="0" w:line="480" w:lineRule="auto"/>
      </w:pPr>
      <w:r>
        <w:t>Crockett, K., Joseph, M., &amp; Rahwan, I. (2022). Ethical debt in software engineering: Identifying and repaying the cost of neglecting ethical design. Communications of the ACM, 65(3), 24–26. https://doi.org/10.1145/3495240</w:t>
      </w:r>
    </w:p>
    <w:p w14:paraId="39A6D3A7" w14:textId="77777777" w:rsidR="00BA569F" w:rsidRDefault="00BA569F" w:rsidP="00BA569F">
      <w:pPr>
        <w:pStyle w:val="NormalWeb"/>
        <w:spacing w:after="0" w:line="480" w:lineRule="auto"/>
      </w:pPr>
      <w:r>
        <w:t>Emanuel, E. J., &amp; Wachter, R. M. (2021). Artificial intelligence in health care: Will the value match the hype? JAMA, 324(12), 1145–1146. https://doi.org/10.1001/jama.2020.12546</w:t>
      </w:r>
    </w:p>
    <w:p w14:paraId="70E2A389" w14:textId="77777777" w:rsidR="00BA569F" w:rsidRDefault="00BA569F" w:rsidP="00BA569F">
      <w:pPr>
        <w:pStyle w:val="NormalWeb"/>
        <w:spacing w:after="0" w:line="480" w:lineRule="auto"/>
      </w:pPr>
      <w:r>
        <w:t>Mitchell, M., Wu, S., Zaldivar, A., Barnes, P., Vasserman, L., Hutchinson, B., ... &amp; Gebru, T. (2019). Model cards for model reporting. Proceedings of the Conference on Fairness, Accountability, and Transparency, 220–229. https://doi.org/10.1145/3287560.3287596</w:t>
      </w:r>
    </w:p>
    <w:p w14:paraId="7FB93EF6" w14:textId="77777777" w:rsidR="00BA569F" w:rsidRDefault="00BA569F" w:rsidP="00BA569F">
      <w:pPr>
        <w:pStyle w:val="NormalWeb"/>
        <w:spacing w:after="0" w:line="480" w:lineRule="auto"/>
      </w:pPr>
      <w:r>
        <w:t>Nissenbaum, H. (2010). Privacy in context: Technology, policy, and the integrity of social life. Stanford University Press.</w:t>
      </w:r>
    </w:p>
    <w:p w14:paraId="484C65FC" w14:textId="0E477908" w:rsidR="00BA569F" w:rsidRDefault="00BA569F" w:rsidP="00BA569F">
      <w:pPr>
        <w:pStyle w:val="NormalWeb"/>
        <w:spacing w:after="0" w:line="480" w:lineRule="auto"/>
      </w:pPr>
      <w:r>
        <w:t>O’Neil, C. (2016). Weapons of math destruction: How big data increases inequality and threatens democracy. Crown Publishing.</w:t>
      </w:r>
    </w:p>
    <w:p w14:paraId="017DF1D3" w14:textId="66FAEE43" w:rsidR="007B6E5F" w:rsidRPr="000E6E8A" w:rsidRDefault="00BA569F" w:rsidP="00BA569F">
      <w:pPr>
        <w:pStyle w:val="NormalWeb"/>
        <w:spacing w:after="0" w:line="480" w:lineRule="auto"/>
      </w:pPr>
      <w:r>
        <w:t>Sculley, D., Holt, G., Golovin, D., Davydov, E., Phillips, T., Ebner, D., ... &amp; Young, M. (2015). Hidden technical debt in machine learning systems. Advances in Neural Information Processing Systems, 28, 2503–2511.</w:t>
      </w: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3"/>
  </w:num>
  <w:num w:numId="2" w16cid:durableId="1535458774">
    <w:abstractNumId w:val="15"/>
  </w:num>
  <w:num w:numId="3" w16cid:durableId="2142727391">
    <w:abstractNumId w:val="18"/>
  </w:num>
  <w:num w:numId="4" w16cid:durableId="4289770">
    <w:abstractNumId w:val="25"/>
  </w:num>
  <w:num w:numId="5" w16cid:durableId="335155750">
    <w:abstractNumId w:val="28"/>
  </w:num>
  <w:num w:numId="6" w16cid:durableId="1956673239">
    <w:abstractNumId w:val="11"/>
  </w:num>
  <w:num w:numId="7" w16cid:durableId="2049378558">
    <w:abstractNumId w:val="13"/>
  </w:num>
  <w:num w:numId="8" w16cid:durableId="574825157">
    <w:abstractNumId w:val="20"/>
  </w:num>
  <w:num w:numId="9" w16cid:durableId="112409820">
    <w:abstractNumId w:val="9"/>
  </w:num>
  <w:num w:numId="10" w16cid:durableId="243690308">
    <w:abstractNumId w:val="24"/>
  </w:num>
  <w:num w:numId="11" w16cid:durableId="2064480056">
    <w:abstractNumId w:val="27"/>
  </w:num>
  <w:num w:numId="12" w16cid:durableId="1436293141">
    <w:abstractNumId w:val="5"/>
  </w:num>
  <w:num w:numId="13" w16cid:durableId="1358040779">
    <w:abstractNumId w:val="6"/>
  </w:num>
  <w:num w:numId="14" w16cid:durableId="865217064">
    <w:abstractNumId w:val="0"/>
  </w:num>
  <w:num w:numId="15" w16cid:durableId="1064184027">
    <w:abstractNumId w:val="3"/>
  </w:num>
  <w:num w:numId="16" w16cid:durableId="601837181">
    <w:abstractNumId w:val="21"/>
  </w:num>
  <w:num w:numId="17" w16cid:durableId="1458523397">
    <w:abstractNumId w:val="2"/>
  </w:num>
  <w:num w:numId="18" w16cid:durableId="1658418179">
    <w:abstractNumId w:val="19"/>
  </w:num>
  <w:num w:numId="19" w16cid:durableId="633218088">
    <w:abstractNumId w:val="14"/>
  </w:num>
  <w:num w:numId="20" w16cid:durableId="988441772">
    <w:abstractNumId w:val="1"/>
  </w:num>
  <w:num w:numId="21" w16cid:durableId="1110128442">
    <w:abstractNumId w:val="12"/>
  </w:num>
  <w:num w:numId="22" w16cid:durableId="1763722061">
    <w:abstractNumId w:val="7"/>
  </w:num>
  <w:num w:numId="23" w16cid:durableId="1996835724">
    <w:abstractNumId w:val="26"/>
  </w:num>
  <w:num w:numId="24" w16cid:durableId="743449038">
    <w:abstractNumId w:val="22"/>
  </w:num>
  <w:num w:numId="25" w16cid:durableId="1542354618">
    <w:abstractNumId w:val="4"/>
  </w:num>
  <w:num w:numId="26" w16cid:durableId="1723603037">
    <w:abstractNumId w:val="16"/>
  </w:num>
  <w:num w:numId="27" w16cid:durableId="240717888">
    <w:abstractNumId w:val="8"/>
  </w:num>
  <w:num w:numId="28" w16cid:durableId="784619069">
    <w:abstractNumId w:val="10"/>
  </w:num>
  <w:num w:numId="29" w16cid:durableId="17390139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D1B68"/>
    <w:rsid w:val="000D23D2"/>
    <w:rsid w:val="000D7A82"/>
    <w:rsid w:val="000E2746"/>
    <w:rsid w:val="000E2CA9"/>
    <w:rsid w:val="000E6503"/>
    <w:rsid w:val="000E6E8A"/>
    <w:rsid w:val="000F169B"/>
    <w:rsid w:val="000F69BB"/>
    <w:rsid w:val="001040EC"/>
    <w:rsid w:val="00113940"/>
    <w:rsid w:val="00126D4F"/>
    <w:rsid w:val="00131C5B"/>
    <w:rsid w:val="0014361C"/>
    <w:rsid w:val="0016305F"/>
    <w:rsid w:val="00163502"/>
    <w:rsid w:val="001668A6"/>
    <w:rsid w:val="00166D36"/>
    <w:rsid w:val="00172FCA"/>
    <w:rsid w:val="0018453B"/>
    <w:rsid w:val="001D021F"/>
    <w:rsid w:val="001E62E1"/>
    <w:rsid w:val="001F1723"/>
    <w:rsid w:val="002055AC"/>
    <w:rsid w:val="00210C36"/>
    <w:rsid w:val="00216EB5"/>
    <w:rsid w:val="002301D9"/>
    <w:rsid w:val="00233BB8"/>
    <w:rsid w:val="002533B0"/>
    <w:rsid w:val="002548C5"/>
    <w:rsid w:val="00260441"/>
    <w:rsid w:val="002743AD"/>
    <w:rsid w:val="00290F05"/>
    <w:rsid w:val="00295430"/>
    <w:rsid w:val="002E4BAC"/>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B7FEB"/>
    <w:rsid w:val="004E21D7"/>
    <w:rsid w:val="00502468"/>
    <w:rsid w:val="00503848"/>
    <w:rsid w:val="00505D2A"/>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6369"/>
    <w:rsid w:val="005E70AE"/>
    <w:rsid w:val="005F23DD"/>
    <w:rsid w:val="005F6C61"/>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B01FF"/>
    <w:rsid w:val="008C2115"/>
    <w:rsid w:val="008C2846"/>
    <w:rsid w:val="008C4264"/>
    <w:rsid w:val="008C6FBC"/>
    <w:rsid w:val="008D5359"/>
    <w:rsid w:val="008D562B"/>
    <w:rsid w:val="008E12CF"/>
    <w:rsid w:val="008E3676"/>
    <w:rsid w:val="008F35BB"/>
    <w:rsid w:val="00903EE1"/>
    <w:rsid w:val="00904023"/>
    <w:rsid w:val="00904BF9"/>
    <w:rsid w:val="00923D35"/>
    <w:rsid w:val="009414B0"/>
    <w:rsid w:val="00953DA0"/>
    <w:rsid w:val="009768B0"/>
    <w:rsid w:val="009A4108"/>
    <w:rsid w:val="009B5B1F"/>
    <w:rsid w:val="009D0E8C"/>
    <w:rsid w:val="009D3E07"/>
    <w:rsid w:val="009D58E3"/>
    <w:rsid w:val="009E1C3F"/>
    <w:rsid w:val="009E22C9"/>
    <w:rsid w:val="009E7B07"/>
    <w:rsid w:val="00A14B15"/>
    <w:rsid w:val="00A1690B"/>
    <w:rsid w:val="00A34A18"/>
    <w:rsid w:val="00A476A2"/>
    <w:rsid w:val="00A50EA7"/>
    <w:rsid w:val="00A57435"/>
    <w:rsid w:val="00A7238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446E"/>
    <w:rsid w:val="00B7577D"/>
    <w:rsid w:val="00B767A4"/>
    <w:rsid w:val="00B93989"/>
    <w:rsid w:val="00B96E4B"/>
    <w:rsid w:val="00BA569F"/>
    <w:rsid w:val="00BB52D2"/>
    <w:rsid w:val="00BC2C92"/>
    <w:rsid w:val="00BC71D5"/>
    <w:rsid w:val="00BD08D0"/>
    <w:rsid w:val="00BD1A95"/>
    <w:rsid w:val="00BE4CAD"/>
    <w:rsid w:val="00BF0F5C"/>
    <w:rsid w:val="00BF7105"/>
    <w:rsid w:val="00C04CF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F34CB"/>
    <w:rsid w:val="00F02539"/>
    <w:rsid w:val="00F22A1F"/>
    <w:rsid w:val="00F23ED1"/>
    <w:rsid w:val="00F308A0"/>
    <w:rsid w:val="00F30A56"/>
    <w:rsid w:val="00F31A6D"/>
    <w:rsid w:val="00F31DB1"/>
    <w:rsid w:val="00F333FE"/>
    <w:rsid w:val="00F46DF3"/>
    <w:rsid w:val="00F5323F"/>
    <w:rsid w:val="00F567CC"/>
    <w:rsid w:val="00F61329"/>
    <w:rsid w:val="00F71CF7"/>
    <w:rsid w:val="00F753D2"/>
    <w:rsid w:val="00F83DE9"/>
    <w:rsid w:val="00FA2553"/>
    <w:rsid w:val="00FB2434"/>
    <w:rsid w:val="00FB7811"/>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7812</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cp:revision>
  <dcterms:created xsi:type="dcterms:W3CDTF">2025-06-02T00:37:00Z</dcterms:created>
  <dcterms:modified xsi:type="dcterms:W3CDTF">2025-06-02T00:47:00Z</dcterms:modified>
</cp:coreProperties>
</file>