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hw-hoftor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</w:t>
      </w:r>
      <w:r>
        <w:rPr>
          <w:b/>
          <w:bCs/>
        </w:rPr>
        <w:t xml:space="preserve">Hager SBN225</w:t>
      </w:r>
      <w:r>
        <w:t xml:space="preserve">, 2-pol., 25 A)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27 =</w:t>
            </w:r>
            <w:r>
              <w:t xml:space="preserve"> </w:t>
            </w:r>
            <w:r>
              <w:rPr>
                <w:b/>
                <w:bCs/>
              </w:rPr>
              <w:t xml:space="preserve">1 A T</w:t>
            </w:r>
            <w:r>
              <w:t xml:space="preserve">: PSU+ auf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+24-V-Reserve</w:t>
            </w:r>
            <w:r>
              <w:t xml:space="preserve"> </w:t>
            </w:r>
            <w:r>
              <w:t xml:space="preserve">(leer)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← CH1-NO</w:t>
            </w:r>
            <w:r>
              <w:t xml:space="preserve"> </w:t>
            </w:r>
            <w:r>
              <w:rPr>
                <w:b/>
                <w:bCs/>
              </w:rPr>
              <w:t xml:space="preserve">Grau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← CH2-NO</w:t>
            </w:r>
            <w:r>
              <w:t xml:space="preserve"> </w:t>
            </w:r>
            <w:r>
              <w:rPr>
                <w:b/>
                <w:bCs/>
              </w:rPr>
              <w:t xml:space="preserve">Grün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← CH3-NO</w:t>
            </w:r>
            <w:r>
              <w:t xml:space="preserve"> </w:t>
            </w:r>
            <w:r>
              <w:rPr>
                <w:b/>
                <w:bCs/>
              </w:rPr>
              <w:t xml:space="preserve">Weiß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← CH4-NO</w:t>
            </w:r>
            <w:r>
              <w:t xml:space="preserve"> </w:t>
            </w:r>
            <w:r>
              <w:rPr>
                <w:b/>
                <w:bCs/>
              </w:rPr>
              <w:t xml:space="preserve">Gelb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← CH5-NO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← CH6-NO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20"/>
    <w:bookmarkStart w:id="21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1"/>
    <w:bookmarkStart w:id="22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frei). Relais-Klemmen je Kanal</w:t>
      </w:r>
      <w:r>
        <w:t xml:space="preserve"> </w:t>
      </w:r>
      <w:r>
        <w:rPr>
          <w:b/>
          <w:bCs/>
        </w:rPr>
        <w:t xml:space="preserve">NO–COM–NC</w:t>
      </w:r>
      <w:r>
        <w:t xml:space="preserve"> </w:t>
      </w:r>
      <w:r>
        <w:t xml:space="preserve">(COM mittig, am Aufdruck verifiziert; NO = linke Klemme, NC frei). Kanäle CH1=r1 … CH6=r6 (final erst nach Flash testen).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Onboard-Relais-COMs CH1–CH6 ← +24 V (R-Block, rot)</w:t>
      </w:r>
      <w:r>
        <w:t xml:space="preserve"> </w:t>
      </w:r>
      <w:r>
        <w:t xml:space="preserve">— verdrahtet 10-06-2026: CH1←R-c · CH2←R-e · CH3←R-g · CH4←R-i · CH5←R-k · CH6←R-m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CH1–CH6 → A1 von R11–R16</w:t>
      </w:r>
      <w:r>
        <w:t xml:space="preserve"> </w:t>
      </w:r>
      <w:r>
        <w:t xml:space="preserve">— verdrahtet 10-06-2026.</w:t>
      </w:r>
      <w:r>
        <w:t xml:space="preserve"> </w:t>
      </w:r>
      <w:r>
        <w:rPr>
          <w:b/>
          <w:bCs/>
        </w:rPr>
        <w:t xml:space="preserve">Antriebsfarbe = Funktionsfarbe des Kanals</w:t>
      </w:r>
      <w:r>
        <w:t xml:space="preserve"> </w:t>
      </w:r>
      <w:r>
        <w:t xml:space="preserve">(durchgängig BFT→Waveshare; ersetzt frühere „schwarz”-Festlegung, da Schwarz = COM-Haupt): R11</w:t>
      </w:r>
      <w:r>
        <w:t xml:space="preserve"> </w:t>
      </w:r>
      <w:r>
        <w:rPr>
          <w:b/>
          <w:bCs/>
        </w:rPr>
        <w:t xml:space="preserve">Grau</w:t>
      </w:r>
      <w:r>
        <w:t xml:space="preserve"> </w:t>
      </w:r>
      <w:r>
        <w:t xml:space="preserve">· R12</w:t>
      </w:r>
      <w:r>
        <w:t xml:space="preserve"> </w:t>
      </w:r>
      <w:r>
        <w:rPr>
          <w:b/>
          <w:bCs/>
        </w:rPr>
        <w:t xml:space="preserve">Grün</w:t>
      </w:r>
      <w:r>
        <w:t xml:space="preserve"> </w:t>
      </w:r>
      <w:r>
        <w:t xml:space="preserve">· R13</w:t>
      </w:r>
      <w:r>
        <w:t xml:space="preserve"> </w:t>
      </w:r>
      <w:r>
        <w:rPr>
          <w:b/>
          <w:bCs/>
        </w:rPr>
        <w:t xml:space="preserve">Weiß</w:t>
      </w:r>
      <w:r>
        <w:t xml:space="preserve"> </w:t>
      </w:r>
      <w:r>
        <w:t xml:space="preserve">· R14</w:t>
      </w:r>
      <w:r>
        <w:t xml:space="preserve"> </w:t>
      </w:r>
      <w:r>
        <w:rPr>
          <w:b/>
          <w:bCs/>
        </w:rPr>
        <w:t xml:space="preserve">Gelb</w:t>
      </w:r>
      <w:r>
        <w:t xml:space="preserve"> </w:t>
      </w:r>
      <w:r>
        <w:t xml:space="preserve">· R15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· R16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(LEDs rot = +24-V-Antrieb ohne BFT-Funktionsfarbe).</w:t>
      </w:r>
    </w:p>
    <w:p>
      <w:pPr>
        <w:pStyle w:val="Compact"/>
        <w:numPr>
          <w:ilvl w:val="0"/>
          <w:numId w:val="1008"/>
        </w:numPr>
      </w:pPr>
      <w:r>
        <w:t xml:space="preserve">K14 von R17→DI1 (</w:t>
      </w:r>
      <w:r>
        <w:rPr>
          <w:b/>
          <w:bCs/>
        </w:rPr>
        <w:t xml:space="preserve">rot</w:t>
      </w:r>
      <w:r>
        <w:t xml:space="preserve">), R18→DI2 (</w:t>
      </w:r>
      <w:r>
        <w:rPr>
          <w:b/>
          <w:bCs/>
        </w:rPr>
        <w:t xml:space="preserve">rosa</w:t>
      </w:r>
      <w:r>
        <w:t xml:space="preserve">), R19→DI3 (</w:t>
      </w:r>
      <w:r>
        <w:rPr>
          <w:b/>
          <w:bCs/>
        </w:rPr>
        <w:t xml:space="preserve">weiß-schwarz</w:t>
      </w:r>
      <w:r>
        <w:t xml:space="preserve">) — Funktionsfarbe durchgezogen</w:t>
      </w:r>
    </w:p>
    <w:p>
      <w:pPr>
        <w:pStyle w:val="Compact"/>
        <w:numPr>
          <w:ilvl w:val="0"/>
          <w:numId w:val="1009"/>
        </w:numPr>
      </w:pPr>
      <w:r>
        <w:t xml:space="preserve">ESP DI-COM → GND (Bl-Block, blau) — Pflicht. ⚠️ DI-Header hat</w:t>
      </w:r>
      <w:r>
        <w:t xml:space="preserve"> </w:t>
      </w:r>
      <w:r>
        <w:rPr>
          <w:b/>
          <w:bCs/>
        </w:rPr>
        <w:t xml:space="preserve">COM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rPr>
          <w:b/>
          <w:bCs/>
        </w:rPr>
        <w:t xml:space="preserve">DGND</w:t>
      </w:r>
      <w:r>
        <w:t xml:space="preserve"> </w:t>
      </w:r>
      <w:r>
        <w:t xml:space="preserve">— vor dem Auflegen klären, welcher der isolierte Eingangs-COM ist.</w:t>
      </w:r>
    </w:p>
    <w:p>
      <w:pPr>
        <w:pStyle w:val="Compact"/>
        <w:numPr>
          <w:ilvl w:val="0"/>
          <w:numId w:val="1010"/>
        </w:numPr>
      </w:pPr>
      <w:r>
        <w:t xml:space="preserve">PoE-Cat-Kabel an ESP-RJ45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11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11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11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12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13"/>
        </w:numPr>
      </w:pPr>
      <w:r>
        <w:t xml:space="preserve">☒ 230 V L/N/PE (Block B) einführen →</w:t>
      </w:r>
      <w:r>
        <w:t xml:space="preserve"> </w:t>
      </w:r>
      <w:r>
        <w:rPr>
          <w:b/>
          <w:bCs/>
        </w:rPr>
        <w:t xml:space="preserve">Hager SBN225</w:t>
      </w:r>
      <w:r>
        <w:t xml:space="preserve"> </w:t>
      </w:r>
      <w:r>
        <w:t xml:space="preserve">(2-pol., 25 A) → PSU-Eingang (10-06-2026)</w:t>
      </w:r>
    </w:p>
    <w:p>
      <w:pPr>
        <w:pStyle w:val="Compact"/>
        <w:numPr>
          <w:ilvl w:val="0"/>
          <w:numId w:val="1013"/>
        </w:numPr>
      </w:pPr>
      <w:r>
        <w:t xml:space="preserve">☒ 24-V-Netzteil</w:t>
      </w:r>
      <w:r>
        <w:t xml:space="preserve"> </w:t>
      </w:r>
      <w:r>
        <w:rPr>
          <w:b/>
          <w:bCs/>
        </w:rPr>
        <w:t xml:space="preserve">Phoenix STEP POWER 1088495</w:t>
      </w:r>
      <w:r>
        <w:t xml:space="preserve"> </w:t>
      </w:r>
      <w:r>
        <w:t xml:space="preserve">(24 V/0,63 A) auf Hutschiene (Reihe 1) — ESP hängt per PoE NICHT am PSU — verbaut 10-06-2026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27-U → R-a</w:t>
      </w:r>
      <w:r>
        <w:t xml:space="preserve"> </w:t>
      </w:r>
      <w:r>
        <w:t xml:space="preserve">verdrahtet (Rot 0,5 mm²) ·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 </w:t>
      </w:r>
      <w:r>
        <w:t xml:space="preserve">verdrahtet 10-06-2026. ⚠️</w:t>
      </w:r>
      <w:r>
        <w:t xml:space="preserve"> </w:t>
      </w:r>
      <w:r>
        <w:rPr>
          <w:b/>
          <w:bCs/>
        </w:rPr>
        <w:t xml:space="preserve">Glassicherung 1 A T noch bestätigen, ob gesteckt</w:t>
      </w:r>
      <w:r>
        <w:t xml:space="preserve"> </w:t>
      </w:r>
      <w:r>
        <w:t xml:space="preserve">(Plan: erst bei Inbetriebnahme → +24-V-Kreis bleibt beim Aufbau spannungslos). Polarität egal — antiparallele LED in der HESILED.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 — verdrahtet 10-06-2026</w:t>
      </w:r>
    </w:p>
    <w:p>
      <w:pPr>
        <w:pStyle w:val="Compact"/>
        <w:numPr>
          <w:ilvl w:val="0"/>
          <w:numId w:val="1013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+24-V-Reserve</w:t>
      </w:r>
      <w:r>
        <w:t xml:space="preserve"> </w:t>
      </w:r>
      <w:r>
        <w:t xml:space="preserve">(leer)</w:t>
      </w:r>
    </w:p>
    <w:p>
      <w:r>
        <w:pict>
          <v:rect style="width:0;height:1.5pt" o:hralign="center" o:hrstd="t" o:hr="t"/>
        </w:pict>
      </w:r>
    </w:p>
    <w:bookmarkEnd w:id="22"/>
    <w:bookmarkStart w:id="23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hw-hoftor</w:t>
      </w:r>
      <w:r>
        <w:t xml:space="preserve">, Abschnitt §6a)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2026-06-10T11:39:11Z</dcterms:created>
  <dcterms:modified xsi:type="dcterms:W3CDTF">2026-06-10T11:39:11Z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