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Hoftor_Dokumentation_v0.39.docx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hw-hoftor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</w:t>
      </w:r>
      <w:r>
        <w:rPr>
          <w:b/>
          <w:bCs/>
        </w:rPr>
        <w:t xml:space="preserve">Hager SBN225</w:t>
      </w:r>
      <w:r>
        <w:t xml:space="preserve">, 2-pol., 25 A)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Hoftor_Dokumentation_v0.39.docx</w:t>
      </w:r>
      <w:r>
        <w:t xml:space="preserve">) beschrieben.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beide</w:t>
            </w:r>
            <w:r>
              <w:t xml:space="preserve"> </w:t>
            </w:r>
            <w:r>
              <w:rPr>
                <w:b/>
                <w:bCs/>
              </w:rPr>
              <w:t xml:space="preserve">2× 0,5 A flink</w:t>
            </w:r>
            <w:r>
              <w:t xml:space="preserve"> </w:t>
            </w:r>
            <w:r>
              <w:t xml:space="preserve">(provisorisch, träge nachrüsten). 27 = Hauptkreis: PSU+ →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Funk-Empfänger-Zweig</w:t>
            </w:r>
            <w:r>
              <w:t xml:space="preserve"> </w:t>
            </w:r>
            <w:r>
              <w:t xml:space="preserve">(Hörmann HET/S 24): PSU+ → 28-O, 28-U → Wago (+24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(innen) sind verdrahtet;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</w:t>
      </w:r>
      <w:r>
        <w:t xml:space="preserve"> </w:t>
      </w:r>
      <w:r>
        <w:rPr>
          <w:b/>
          <w:bCs/>
        </w:rPr>
        <w:t xml:space="preserve">AHK-seitig aufgelegt (19-06, Farben bestätigt)</w:t>
      </w:r>
      <w:r>
        <w:t xml:space="preserve">, aber die</w:t>
      </w:r>
      <w:r>
        <w:t xml:space="preserve"> </w:t>
      </w:r>
      <w:r>
        <w:rPr>
          <w:b/>
          <w:bCs/>
        </w:rPr>
        <w:t xml:space="preserve">BFT-Enden der Adern sind noch offen</w:t>
      </w:r>
      <w:r>
        <w:t xml:space="preserve"> </w:t>
      </w:r>
      <w:r>
        <w:t xml:space="preserve">(Berührungsschutz-WAGOs).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Ped / Fußgänger (Ch4)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Öffnen (Ch1)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  <w:r>
              <w:t xml:space="preserve"> </w:t>
            </w:r>
            <w:r>
              <w:rPr>
                <w:b/>
                <w:bCs/>
              </w:rPr>
              <w:t xml:space="preserve">Blau</w:t>
            </w:r>
            <w:r>
              <w:t xml:space="preserve"> </w:t>
            </w:r>
            <w:r>
              <w:t xml:space="preserve">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← CH1-NO</w:t>
            </w:r>
            <w:r>
              <w:t xml:space="preserve"> </w:t>
            </w:r>
            <w:r>
              <w:rPr>
                <w:b/>
                <w:bCs/>
              </w:rP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CH7</w:t>
            </w:r>
            <w:r>
              <w:t xml:space="preserve">-NO</w:t>
            </w:r>
            <w:r>
              <w:t xml:space="preserve"> </w:t>
            </w:r>
            <w:r>
              <w:rPr>
                <w:b/>
                <w:bCs/>
              </w:rPr>
              <w:t xml:space="preserve">Grün</w:t>
            </w:r>
            <w:r>
              <w:t xml:space="preserve"> </w:t>
            </w:r>
            <w:r>
              <w:t xml:space="preserve">(v0.38 von CH2 umgeklemmt)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← CH3-NO</w:t>
            </w:r>
            <w:r>
              <w:t xml:space="preserve"> </w:t>
            </w:r>
            <w:r>
              <w:rPr>
                <w:b/>
                <w:bCs/>
              </w:rP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← CH4-NO</w:t>
            </w:r>
            <w:r>
              <w:t xml:space="preserve"> </w:t>
            </w:r>
            <w:r>
              <w:rPr>
                <w:b/>
                <w:bCs/>
              </w:rP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← CH5-NO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← CH6-NO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Ped / Fußgänger (Ch4)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Öffnen (Ch1)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auf der UV-Seite (-U)</w:t>
      </w:r>
      <w:r>
        <w:t xml:space="preserve"> </w:t>
      </w:r>
      <w:r>
        <w:rPr>
          <w:b/>
          <w:bCs/>
        </w:rPr>
        <w:t xml:space="preserve">aufgelegt 19-06</w:t>
      </w:r>
      <w:r>
        <w:t xml:space="preserve"> </w:t>
      </w:r>
      <w:r>
        <w:t xml:space="preserve">(Farben bestätigt); die</w:t>
      </w:r>
      <w:r>
        <w:t xml:space="preserve"> </w:t>
      </w:r>
      <w:r>
        <w:rPr>
          <w:b/>
          <w:bCs/>
        </w:rPr>
        <w:t xml:space="preserve">BFT-/Tor-Seite der Adern ist noch offen</w:t>
      </w:r>
      <w:r>
        <w:t xml:space="preserve"> </w:t>
      </w:r>
      <w:r>
        <w:t xml:space="preserve">(freie Enden in Berührungsschutz-WAGOs). Weiß-Schwarz ist intern für das Taster-Signal verwendet (Kl. 26 → R19-A1).</w:t>
      </w:r>
    </w:p>
    <w:bookmarkEnd w:id="20"/>
    <w:bookmarkStart w:id="21" w:name="X8079e7a7c18e53b7c9f6082371e16a25d2cd4bc"/>
    <w:p>
      <w:pPr>
        <w:pStyle w:val="Heading2"/>
      </w:pPr>
      <w:r>
        <w:t xml:space="preserve">11a. Funk-Empfänger Hörmann HET/S 24 (NEU 19-06-2026)</w:t>
      </w:r>
    </w:p>
    <w:p>
      <w:pPr>
        <w:pStyle w:val="FirstParagraph"/>
      </w:pPr>
      <w:r>
        <w:t xml:space="preserve">BiSecur-Handsender → 2-Kanal-Relais-Empfänger im FIBOX, 24 V über</w:t>
      </w:r>
      <w:r>
        <w:t xml:space="preserve"> </w:t>
      </w:r>
      <w:r>
        <w:rPr>
          <w:b/>
          <w:bCs/>
        </w:rPr>
        <w:t xml:space="preserve">Sicherung 28</w:t>
      </w:r>
      <w:r>
        <w:t xml:space="preserve"> </w:t>
      </w:r>
      <w:r>
        <w:t xml:space="preserve">(eigener 4×-Wago-Verteiler). Potenzialfreier Kontakt schaltet +24 V auf einen freien DI — elektrisch identisch zum F3/F4-Status-Schema.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Hörmann</w:t>
            </w:r>
          </w:p>
        </w:tc>
        <w:tc>
          <w:tcPr/>
          <w:p>
            <w:pPr>
              <w:pStyle w:val="Compact"/>
            </w:pPr>
            <w:r>
              <w:t xml:space="preserve">Ader</w:t>
            </w:r>
          </w:p>
        </w:tc>
        <w:tc>
          <w:tcPr/>
          <w:p>
            <w:pPr>
              <w:pStyle w:val="Compact"/>
            </w:pPr>
            <w:r>
              <w:t xml:space="preserve">→ ESP-DI</w:t>
            </w:r>
          </w:p>
        </w:tc>
        <w:tc>
          <w:tcPr/>
          <w:p>
            <w:pPr>
              <w:pStyle w:val="Compact"/>
            </w:pPr>
            <w:r>
              <w:t xml:space="preserve">Funktion (Logik in 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DI7</w:t>
            </w:r>
            <w:r>
              <w:t xml:space="preserve"> </w:t>
            </w:r>
            <w:r>
              <w:t xml:space="preserve">(GPIO10)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binary_sensor.hoftor_funk_hormann_k1</w:t>
            </w:r>
            <w:r>
              <w:t xml:space="preserve"> </w:t>
            </w:r>
            <w:r>
              <w:t xml:space="preserve">→ Hoftor öffnen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DI8</w:t>
            </w:r>
            <w:r>
              <w:t xml:space="preserve"> </w:t>
            </w:r>
            <w:r>
              <w:t xml:space="preserve">(GPIO11)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binary_sensor.hoftor_funk_hormann_k2</w:t>
            </w:r>
            <w:r>
              <w:t xml:space="preserve"> </w:t>
            </w:r>
            <w:r>
              <w:t xml:space="preserve">→ Hoflicht (Shelly)</w:t>
            </w:r>
          </w:p>
        </w:tc>
      </w:tr>
    </w:tbl>
    <w:p>
      <w:pPr>
        <w:pStyle w:val="BodyText"/>
      </w:pPr>
      <w:r>
        <w:t xml:space="preserve">Verdrahtung: Empfänger V+ ← +24 V (Wago, über Sicherung 28) · V− ← GND · beide Relais-COMs ← +24 V (Wago) · NO K1 → DI7 · NO K2 → DI8. Reine Melder (kein</w:t>
      </w:r>
      <w:r>
        <w:t xml:space="preserve"> </w:t>
      </w:r>
      <w:r>
        <w:rPr>
          <w:rStyle w:val="VerbatimChar"/>
        </w:rPr>
        <w:t xml:space="preserve">on_press</w:t>
      </w:r>
      <w:r>
        <w:t xml:space="preserve"> </w:t>
      </w:r>
      <w:r>
        <w:t xml:space="preserve">in der Firmware), Schalt-Logik in HA. Details:</w:t>
      </w:r>
      <w:r>
        <w:t xml:space="preserve"> </w:t>
      </w:r>
      <w:r>
        <w:rPr>
          <w:rStyle w:val="VerbatimChar"/>
        </w:rPr>
        <w:t xml:space="preserve">Hoftor_Hoermann_Funkempfaenger_Uebergabe.md</w:t>
      </w:r>
      <w:r>
        <w:t xml:space="preserve">.</w:t>
      </w:r>
    </w:p>
    <w:bookmarkEnd w:id="21"/>
    <w:bookmarkStart w:id="22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(1 A T)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2"/>
    <w:bookmarkStart w:id="23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frei). Relais-Klemmen je Kanal</w:t>
      </w:r>
      <w:r>
        <w:t xml:space="preserve"> </w:t>
      </w:r>
      <w:r>
        <w:rPr>
          <w:b/>
          <w:bCs/>
        </w:rPr>
        <w:t xml:space="preserve">NO–COM–NC</w:t>
      </w:r>
      <w:r>
        <w:t xml:space="preserve"> </w:t>
      </w:r>
      <w:r>
        <w:t xml:space="preserve">(COM mittig, am Aufdruck verifiziert; NO = linke Klemme, NC frei). Kanäle CH1=r1 … CH6=r6 (final erst nach Flash testen).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Onboard-Relais-COMs CH1–CH6 ← +24 V (R-Block, rot):</w:t>
      </w:r>
      <w:r>
        <w:t xml:space="preserve"> </w:t>
      </w:r>
      <w:r>
        <w:t xml:space="preserve">CH1←R-c · CH2←R-e · CH3←R-g · CH4←R-i · CH5←R-k · CH6←R-m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CH1–CH6 → A1 von R11–R16.</w:t>
      </w:r>
      <w:r>
        <w:t xml:space="preserve"> </w:t>
      </w:r>
      <w:r>
        <w:rPr>
          <w:b/>
          <w:bCs/>
        </w:rPr>
        <w:t xml:space="preserve">Antriebsfarbe = Funktionsfarbe des Kanals</w:t>
      </w:r>
      <w:r>
        <w:t xml:space="preserve"> </w:t>
      </w:r>
      <w:r>
        <w:t xml:space="preserve">(durchgängig BFT→Waveshare; Schwarz = COM-Haupt, daher NICHT Antrieb): R11</w:t>
      </w:r>
      <w:r>
        <w:t xml:space="preserve"> </w:t>
      </w:r>
      <w:r>
        <w:rPr>
          <w:b/>
          <w:bCs/>
        </w:rPr>
        <w:t xml:space="preserve">Grau</w:t>
      </w:r>
      <w:r>
        <w:t xml:space="preserve"> </w:t>
      </w:r>
      <w:r>
        <w:t xml:space="preserve">· R12</w:t>
      </w:r>
      <w:r>
        <w:t xml:space="preserve"> </w:t>
      </w:r>
      <w:r>
        <w:rPr>
          <w:b/>
          <w:bCs/>
        </w:rPr>
        <w:t xml:space="preserve">Grün</w:t>
      </w:r>
      <w:r>
        <w:t xml:space="preserve"> </w:t>
      </w:r>
      <w:r>
        <w:t xml:space="preserve">· R13</w:t>
      </w:r>
      <w:r>
        <w:t xml:space="preserve"> </w:t>
      </w:r>
      <w:r>
        <w:rPr>
          <w:b/>
          <w:bCs/>
        </w:rPr>
        <w:t xml:space="preserve">Weiß</w:t>
      </w:r>
      <w:r>
        <w:t xml:space="preserve"> </w:t>
      </w:r>
      <w:r>
        <w:t xml:space="preserve">· R14</w:t>
      </w:r>
      <w:r>
        <w:t xml:space="preserve"> </w:t>
      </w:r>
      <w:r>
        <w:rPr>
          <w:b/>
          <w:bCs/>
        </w:rPr>
        <w:t xml:space="preserve">Gelb</w:t>
      </w:r>
      <w:r>
        <w:t xml:space="preserve"> </w:t>
      </w:r>
      <w:r>
        <w:t xml:space="preserve">· R15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· R16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(LEDs rot = +24-V-Antrieb ohne BFT-Funktionsfarbe).</w:t>
      </w:r>
    </w:p>
    <w:p>
      <w:pPr>
        <w:pStyle w:val="Compact"/>
        <w:numPr>
          <w:ilvl w:val="0"/>
          <w:numId w:val="1008"/>
        </w:numPr>
      </w:pPr>
      <w:r>
        <w:t xml:space="preserve">K14 von R17→DI1 (</w:t>
      </w:r>
      <w:r>
        <w:rPr>
          <w:b/>
          <w:bCs/>
        </w:rPr>
        <w:t xml:space="preserve">rot</w:t>
      </w:r>
      <w:r>
        <w:t xml:space="preserve">), R18→DI2 (</w:t>
      </w:r>
      <w:r>
        <w:rPr>
          <w:b/>
          <w:bCs/>
        </w:rPr>
        <w:t xml:space="preserve">rosa</w:t>
      </w:r>
      <w:r>
        <w:t xml:space="preserve">), R19→DI3 (</w:t>
      </w:r>
      <w:r>
        <w:rPr>
          <w:b/>
          <w:bCs/>
        </w:rPr>
        <w:t xml:space="preserve">weiß-schwarz</w:t>
      </w:r>
      <w:r>
        <w:t xml:space="preserve">) — Funktionsfarbe durchgezogen</w:t>
      </w:r>
    </w:p>
    <w:p>
      <w:pPr>
        <w:pStyle w:val="Compact"/>
        <w:numPr>
          <w:ilvl w:val="0"/>
          <w:numId w:val="1009"/>
        </w:numPr>
      </w:pPr>
      <w:r>
        <w:t xml:space="preserve">ESP DI-COM → GND:</w:t>
      </w:r>
      <w:r>
        <w:t xml:space="preserve"> </w:t>
      </w:r>
      <w:r>
        <w:rPr>
          <w:b/>
          <w:bCs/>
        </w:rPr>
        <w:t xml:space="preserve">Bl-c → COM</w:t>
      </w:r>
      <w:r>
        <w:t xml:space="preserve"> </w:t>
      </w:r>
      <w:r>
        <w:t xml:space="preserve">(Blau),</w:t>
      </w:r>
      <w:r>
        <w:t xml:space="preserve"> </w:t>
      </w:r>
      <w:r>
        <w:rPr>
          <w:b/>
          <w:bCs/>
        </w:rPr>
        <w:t xml:space="preserve">DGND frei</w:t>
      </w:r>
      <w:r>
        <w:t xml:space="preserve"> </w:t>
      </w:r>
      <w:r>
        <w:t xml:space="preserve">(isolierter Eingangs-COM auf 24-V-GND; DGND = Logik-Masse, bleibt unbeschaltet). Opto-Eingänge bidirektional → Polarität unkritisch.</w:t>
      </w:r>
    </w:p>
    <w:p>
      <w:pPr>
        <w:pStyle w:val="Compact"/>
        <w:numPr>
          <w:ilvl w:val="0"/>
          <w:numId w:val="1010"/>
        </w:numPr>
      </w:pPr>
      <w:r>
        <w:t xml:space="preserve">PoE-Cat-Kabel an ESP-RJ45 (VIN frei) — danach Flash + Kanal-/DI-Test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11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11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11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12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13"/>
        </w:numPr>
      </w:pPr>
      <w:r>
        <w:t xml:space="preserve">230 V L/N/PE (Block B) einführen →</w:t>
      </w:r>
      <w:r>
        <w:t xml:space="preserve"> </w:t>
      </w:r>
      <w:r>
        <w:rPr>
          <w:b/>
          <w:bCs/>
        </w:rPr>
        <w:t xml:space="preserve">Hager SBN225</w:t>
      </w:r>
      <w:r>
        <w:t xml:space="preserve"> </w:t>
      </w:r>
      <w:r>
        <w:t xml:space="preserve">(2-pol., 25 A) → PSU-Eingang</w:t>
      </w:r>
    </w:p>
    <w:p>
      <w:pPr>
        <w:pStyle w:val="Compact"/>
        <w:numPr>
          <w:ilvl w:val="0"/>
          <w:numId w:val="1014"/>
        </w:numPr>
      </w:pPr>
      <w:r>
        <w:t xml:space="preserve">24-V-Netzteil</w:t>
      </w:r>
      <w:r>
        <w:t xml:space="preserve"> </w:t>
      </w:r>
      <w:r>
        <w:rPr>
          <w:b/>
          <w:bCs/>
        </w:rPr>
        <w:t xml:space="preserve">Phoenix STEP POWER 1088495</w:t>
      </w:r>
      <w:r>
        <w:t xml:space="preserve"> </w:t>
      </w:r>
      <w:r>
        <w:t xml:space="preserve">(24 V/0,63 A) auf Hutschiene (Reihe 1) — ESP hängt per PoE NICHT am PSU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27-U → R-a</w:t>
      </w:r>
      <w:r>
        <w:t xml:space="preserve"> </w:t>
      </w:r>
      <w:r>
        <w:t xml:space="preserve">(Rot 0,5 mm²) ·</w:t>
      </w:r>
      <w:r>
        <w:t xml:space="preserve"> </w:t>
      </w:r>
      <w:r>
        <w:rPr>
          <w:b/>
          <w:bCs/>
        </w:rPr>
        <w:t xml:space="preserve">PSU+ → 27-O</w:t>
      </w:r>
      <w:r>
        <w:t xml:space="preserve">.</w:t>
      </w:r>
      <w:r>
        <w:t xml:space="preserve"> </w:t>
      </w:r>
      <w:r>
        <w:rPr>
          <w:b/>
          <w:bCs/>
        </w:rPr>
        <w:t xml:space="preserve">Sicherungen gesteckt 19-06: 2× 0,5 A flink</w:t>
      </w:r>
      <w:r>
        <w:t xml:space="preserve"> </w:t>
      </w:r>
      <w:r>
        <w:t xml:space="preserve">(provisorisch, träge nachrüsten). Polarität egal — antiparallele LED in der HESILED.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</w:t>
      </w:r>
    </w:p>
    <w:p>
      <w:pPr>
        <w:pStyle w:val="Compact"/>
        <w:numPr>
          <w:ilvl w:val="0"/>
          <w:numId w:val="1017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Funk-Empfänger-Zweig</w:t>
      </w:r>
      <w:r>
        <w:t xml:space="preserve"> </w:t>
      </w:r>
      <w:r>
        <w:t xml:space="preserve">(Hörmann HET/S 24): PSU+ → 28-O, 28-U → Wago (+24 V)</w:t>
      </w:r>
    </w:p>
    <w:p>
      <w:r>
        <w:pict>
          <v:rect style="width:0;height:1.5pt" o:hralign="center" o:hrstd="t" o:hr="t"/>
        </w:pict>
      </w:r>
    </w:p>
    <w:bookmarkEnd w:id="23"/>
    <w:bookmarkStart w:id="24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Hoftor_Dokumentation_v0.39.docx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hw-hoftor</w:t>
      </w:r>
      <w:r>
        <w:t xml:space="preserve">, Abschnitt §6a)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2026-06-19T17:24:12Z</dcterms:created>
  <dcterms:modified xsi:type="dcterms:W3CDTF">2026-06-19T17:24:12Z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