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e18028861d75407b2317049ef8b4ac7079fad0b"/>
    <w:p>
      <w:pPr>
        <w:pStyle w:val="Heading1"/>
      </w:pPr>
      <w:r>
        <w:t xml:space="preserve">Hoftor-Steuerung — Verdrahtungs- &amp; Belegungsdokumentation</w:t>
      </w:r>
    </w:p>
    <w:p>
      <w:pPr>
        <w:pStyle w:val="FirstParagraph"/>
      </w:pPr>
      <w:r>
        <w:rPr>
          <w:b/>
          <w:bCs/>
        </w:rPr>
        <w:t xml:space="preserve">Version 1.0 — Stand 03-06-2026</w:t>
      </w:r>
    </w:p>
    <w:p>
      <w:pPr>
        <w:pStyle w:val="BodyText"/>
      </w:pPr>
      <w:r>
        <w:t xml:space="preserve">Verteiler-Innenausbau · FIBOX MCE65 36M (3×12 TE) · BFT Thalia BT A80/A160 + EBD</w:t>
      </w:r>
    </w:p>
    <w:p>
      <w:pPr>
        <w:pStyle w:val="BodyText"/>
      </w:pPr>
      <w:r>
        <w:rPr>
          <w:b/>
          <w:bCs/>
        </w:rPr>
        <w:t xml:space="preserve">Querverweise: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Firmware-/Software-Logik (ESPHome):</w:t>
      </w:r>
      <w:r>
        <w:t xml:space="preserve"> </w:t>
      </w:r>
      <w:r>
        <w:t xml:space="preserve">siehe</w:t>
      </w:r>
      <w:r>
        <w:t xml:space="preserve"> </w:t>
      </w:r>
      <w:r>
        <w:rPr>
          <w:rStyle w:val="VerbatimChar"/>
        </w:rPr>
        <w:t xml:space="preserve">Hoftor_Dokumentation_v0.35.docx</w:t>
      </w:r>
      <w:r>
        <w:t xml:space="preserve"> </w:t>
      </w:r>
      <w:r>
        <w:t xml:space="preserve">(Steuerkanäle, Scripts, Auto-Close, Störungserkennung, DI/Relais-Logik).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Live-Arbeitsdoku (vollständig, versioniert):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im Projektordner</w:t>
      </w:r>
      <w:r>
        <w:t xml:space="preserve"> </w:t>
      </w:r>
      <w:r>
        <w:rPr>
          <w:rStyle w:val="VerbatimChar"/>
        </w:rPr>
        <w:t xml:space="preserve">esp/hoftor</w:t>
      </w:r>
      <w:r>
        <w:t xml:space="preserve"> </w:t>
      </w:r>
      <w:r>
        <w:t xml:space="preserve">(Abschnitt §6a = Belegungsplan).</w:t>
      </w:r>
    </w:p>
    <w:p>
      <w:r>
        <w:pict>
          <v:rect style="width:0;height:1.5pt" o:hralign="center" o:hrstd="t" o:hr="t"/>
        </w:pict>
      </w:r>
    </w:p>
    <w:bookmarkStart w:id="9" w:name="Xe56d02e92c3608877f5ce42ef12a7cb56bc8380"/>
    <w:p>
      <w:pPr>
        <w:pStyle w:val="Heading2"/>
      </w:pPr>
      <w:r>
        <w:t xml:space="preserve">⚠️ Sicherheit — vollständiges Spannungsfrei-Schalten</w:t>
      </w:r>
    </w:p>
    <w:p>
      <w:pPr>
        <w:pStyle w:val="FirstParagraph"/>
      </w:pPr>
      <w:r>
        <w:t xml:space="preserve">Der lokale Ausschalter (ABB) trennt</w:t>
      </w:r>
      <w:r>
        <w:t xml:space="preserve"> </w:t>
      </w:r>
      <w:r>
        <w:rPr>
          <w:b/>
          <w:bCs/>
        </w:rPr>
        <w:t xml:space="preserve">NUR den 24-V-Kreis dieser Steuerung</w:t>
      </w:r>
      <w:r>
        <w:t xml:space="preserve"> </w:t>
      </w:r>
      <w:r>
        <w:t xml:space="preserve">(PSU → R-/Bl-Block → RIF-0-Spulen, LEDs).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abgeschaltet werden: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ESP</w:t>
      </w:r>
      <w:r>
        <w:t xml:space="preserve"> </w:t>
      </w:r>
      <w:r>
        <w:t xml:space="preserve">— per PoE vom Netzwerk-Switch versorgt (isoliertes SELV ~48 V an der RJ45-Buchse).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BFT-Controller</w:t>
      </w:r>
      <w:r>
        <w:t xml:space="preserve"> </w:t>
      </w:r>
      <w:r>
        <w:t xml:space="preserve">— hat eine</w:t>
      </w:r>
      <w:r>
        <w:t xml:space="preserve"> </w:t>
      </w:r>
      <w:r>
        <w:rPr>
          <w:b/>
          <w:bCs/>
        </w:rPr>
        <w:t xml:space="preserve">eigene 230-V-Versorgung</w:t>
      </w:r>
      <w:r>
        <w:t xml:space="preserve">, unabhängig vom Ausschalter. Dadurch können die</w:t>
      </w:r>
      <w:r>
        <w:t xml:space="preserve"> </w:t>
      </w:r>
      <w:r>
        <w:rPr>
          <w:b/>
          <w:bCs/>
        </w:rPr>
        <w:t xml:space="preserve">Reihenklemmen 1–10 (BFT-Seite) Spannung führen</w:t>
      </w:r>
      <w:r>
        <w:t xml:space="preserve"> </w:t>
      </w:r>
      <w:r>
        <w:t xml:space="preserve">— insbesondere 1–6, da die BFT an ihren IC-Eingängen (60–65) ihre interne Sensorspannung gegen COM anlegt —</w:t>
      </w:r>
      <w:r>
        <w:t xml:space="preserve"> </w:t>
      </w:r>
      <w:r>
        <w:rPr>
          <w:b/>
          <w:bCs/>
        </w:rPr>
        <w:t xml:space="preserve">auch bei abgeschaltetem 24-V-Kreis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Vollständig spannungsfrei nur mit allen drei Schritten:</w:t>
      </w:r>
      <w:r>
        <w:t xml:space="preserve"> </w:t>
      </w:r>
      <w:r>
        <w:t xml:space="preserve">(a) lokaler Ausschalter AUS · (b) ESP-Netzwerkkabel ziehen (oder PoE am Switch deaktivieren) · (c) BFT-Controller separat spannungsfrei schalten.</w:t>
      </w:r>
    </w:p>
    <w:bookmarkEnd w:id="9"/>
    <w:bookmarkStart w:id="10" w:name="zweck-dieses-dokuments"/>
    <w:p>
      <w:pPr>
        <w:pStyle w:val="Heading2"/>
      </w:pPr>
      <w:r>
        <w:t xml:space="preserve">1. Zweck dieses Dokuments</w:t>
      </w:r>
    </w:p>
    <w:p>
      <w:pPr>
        <w:pStyle w:val="FirstParagraph"/>
      </w:pPr>
      <w:r>
        <w:t xml:space="preserve">Dieses Dokument beschreibt den</w:t>
      </w:r>
      <w:r>
        <w:t xml:space="preserve"> </w:t>
      </w:r>
      <w:r>
        <w:rPr>
          <w:b/>
          <w:bCs/>
        </w:rPr>
        <w:t xml:space="preserve">physischen Aufbau und die Verdrahtung</w:t>
      </w:r>
      <w:r>
        <w:t xml:space="preserve"> </w:t>
      </w:r>
      <w:r>
        <w:t xml:space="preserve">im Verteiler (Reihenklemmen, Koppelrelais, Potentialverteilung, Brücken, Aderfarben). Die</w:t>
      </w:r>
      <w:r>
        <w:t xml:space="preserve"> </w:t>
      </w:r>
      <w:r>
        <w:rPr>
          <w:b/>
          <w:bCs/>
        </w:rPr>
        <w:t xml:space="preserve">Steuerungs-/Firmware-Logik</w:t>
      </w:r>
      <w:r>
        <w:t xml:space="preserve"> </w:t>
      </w:r>
      <w:r>
        <w:t xml:space="preserve">ist bewusst NICHT hier, sondern in der Firmware-Doku (</w:t>
      </w:r>
      <w:r>
        <w:rPr>
          <w:rStyle w:val="VerbatimChar"/>
        </w:rPr>
        <w:t xml:space="preserve">Hoftor_Dokumentation_v0.35.docx</w:t>
      </w:r>
      <w:r>
        <w:t xml:space="preserve">) beschrieben.</w:t>
      </w:r>
    </w:p>
    <w:p>
      <w:pPr>
        <w:pStyle w:val="BodyText"/>
      </w:pPr>
      <w:r>
        <w:rPr>
          <w:b/>
          <w:bCs/>
        </w:rPr>
        <w:t xml:space="preserve">Stand der Arbeiten (03-06-2026):</w:t>
      </w:r>
      <w:r>
        <w:t xml:space="preserve"> </w:t>
      </w:r>
      <w:r>
        <w:t xml:space="preserve">Der Verteiler-Innenausbau ist verdrahtet und per Foto verifiziert. Offen sind ESP-Seite, Tor-Adern (AHK-Kabel), LED-/Taster-Geräte und die 230 V-/24 V-Versorgung — siehe Abschnitt 13.</w:t>
      </w:r>
    </w:p>
    <w:bookmarkEnd w:id="10"/>
    <w:bookmarkStart w:id="11" w:name="durchgehende-nummerierung"/>
    <w:p>
      <w:pPr>
        <w:pStyle w:val="Heading2"/>
      </w:pPr>
      <w:r>
        <w:t xml:space="preserve">2. Durchgehende Nummerierung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Nummern</w:t>
            </w:r>
          </w:p>
        </w:tc>
        <w:tc>
          <w:tcPr/>
          <w:p>
            <w:pPr>
              <w:pStyle w:val="Compact"/>
            </w:pPr>
            <w:r>
              <w:t xml:space="preserve">Bauteil</w:t>
            </w:r>
          </w:p>
        </w:tc>
        <w:tc>
          <w:tcPr/>
          <w:p>
            <w:pPr>
              <w:pStyle w:val="Compact"/>
            </w:pPr>
            <w:r>
              <w:t xml:space="preserve">Funktion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1–10</w:t>
            </w:r>
          </w:p>
        </w:tc>
        <w:tc>
          <w:tcPr/>
          <w:p>
            <w:pPr>
              <w:pStyle w:val="Compact"/>
            </w:pPr>
            <w:r>
              <w:t xml:space="preserve">Reihenklemmen (8× PT 2,5 + 2× TWIN an #1/#4)</w:t>
            </w:r>
          </w:p>
        </w:tc>
        <w:tc>
          <w:tcPr/>
          <w:p>
            <w:pPr>
              <w:pStyle w:val="Compact"/>
            </w:pPr>
            <w:r>
              <w:t xml:space="preserve">Tor-Anbindung (AHK-Kabel von der BFT)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10× RIF-0 Koppelrelais</w:t>
            </w:r>
          </w:p>
        </w:tc>
        <w:tc>
          <w:tcPr/>
          <w:p>
            <w:pPr>
              <w:pStyle w:val="Compact"/>
            </w:pPr>
            <w:r>
              <w:t xml:space="preserve">9 belegt + Pos. 20 Reserve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21–26</w:t>
            </w:r>
          </w:p>
        </w:tc>
        <w:tc>
          <w:tcPr/>
          <w:p>
            <w:pPr>
              <w:pStyle w:val="Compact"/>
            </w:pPr>
            <w:r>
              <w:t xml:space="preserve">6 Klemmen (Block C)</w:t>
            </w:r>
          </w:p>
        </w:tc>
        <w:tc>
          <w:tcPr/>
          <w:p>
            <w:pPr>
              <w:pStyle w:val="Compact"/>
            </w:pPr>
            <w:r>
              <w:t xml:space="preserve">LED blau/rot + Taster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27–28</w:t>
            </w:r>
          </w:p>
        </w:tc>
        <w:tc>
          <w:tcPr/>
          <w:p>
            <w:pPr>
              <w:pStyle w:val="Compact"/>
            </w:pPr>
            <w:r>
              <w:t xml:space="preserve">2 Sicherungshalter</w:t>
            </w:r>
          </w:p>
        </w:tc>
        <w:tc>
          <w:tcPr/>
          <w:p>
            <w:pPr>
              <w:pStyle w:val="Compact"/>
            </w:pPr>
            <w:r>
              <w:t xml:space="preserve">27 = 24 V-Hauptsicherung 2 A T · 28 = Reserve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Bl-a…m</w:t>
            </w:r>
          </w:p>
        </w:tc>
        <w:tc>
          <w:tcPr/>
          <w:p>
            <w:pPr>
              <w:pStyle w:val="Compact"/>
            </w:pPr>
            <w:r>
              <w:t xml:space="preserve">PTFIX blau</w:t>
            </w:r>
          </w:p>
        </w:tc>
        <w:tc>
          <w:tcPr/>
          <w:p>
            <w:pPr>
              <w:pStyle w:val="Compact"/>
            </w:pPr>
            <w:r>
              <w:t xml:space="preserve">GND/0 V-Verteilung · a = Zuleitung (PSU−)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R-a…m</w:t>
            </w:r>
          </w:p>
        </w:tc>
        <w:tc>
          <w:tcPr/>
          <w:p>
            <w:pPr>
              <w:pStyle w:val="Compact"/>
            </w:pPr>
            <w:r>
              <w:t xml:space="preserve">PTFIX rot</w:t>
            </w:r>
          </w:p>
        </w:tc>
        <w:tc>
          <w:tcPr/>
          <w:p>
            <w:pPr>
              <w:pStyle w:val="Compact"/>
            </w:pPr>
            <w:r>
              <w:t xml:space="preserve">+24 V-Verteilung · a = Zuleitung (Sicherung 27)</w:t>
            </w:r>
          </w:p>
        </w:tc>
      </w:tr>
    </w:tbl>
    <w:p>
      <w:pPr>
        <w:pStyle w:val="BodyText"/>
      </w:pPr>
      <w:r>
        <w:t xml:space="preserve">Die alten</w:t>
      </w:r>
      <w:r>
        <w:t xml:space="preserve"> </w:t>
      </w:r>
      <w:r>
        <w:rPr>
          <w:b/>
          <w:bCs/>
        </w:rPr>
        <w:t xml:space="preserve">F-Rollen (F1–F8)</w:t>
      </w:r>
      <w:r>
        <w:t xml:space="preserve"> </w:t>
      </w:r>
      <w:r>
        <w:t xml:space="preserve">bleiben als logischer Bezug für den Firmware-Code erhalten und sind in den Tabellen in Klammern angegeben.</w:t>
      </w:r>
    </w:p>
    <w:bookmarkEnd w:id="11"/>
    <w:bookmarkStart w:id="12" w:name="anschluss-benennung-klemmen-ebenen"/>
    <w:p>
      <w:pPr>
        <w:pStyle w:val="Heading2"/>
      </w:pPr>
      <w:r>
        <w:t xml:space="preserve">3. Anschluss-Benennung (Klemmen-Ebenen)</w:t>
      </w:r>
    </w:p>
    <w:p>
      <w:pPr>
        <w:pStyle w:val="FirstParagraph"/>
      </w:pPr>
      <w:r>
        <w:t xml:space="preserve">Reihenklemmen 1–10:</w:t>
      </w:r>
      <w:r>
        <w:t xml:space="preserve"> </w:t>
      </w:r>
      <w:r>
        <w:rPr>
          <w:rStyle w:val="VerbatimChar"/>
        </w:rPr>
        <w:t xml:space="preserve">&lt;Nr&gt;-O</w:t>
      </w:r>
      <w:r>
        <w:t xml:space="preserve"> </w:t>
      </w:r>
      <w:r>
        <w:t xml:space="preserve">= obere Push-in-Reihe,</w:t>
      </w:r>
      <w:r>
        <w:t xml:space="preserve"> </w:t>
      </w:r>
      <w:r>
        <w:rPr>
          <w:rStyle w:val="VerbatimChar"/>
        </w:rPr>
        <w:t xml:space="preserve">&lt;Nr&gt;-U</w:t>
      </w:r>
      <w:r>
        <w:t xml:space="preserve"> </w:t>
      </w:r>
      <w:r>
        <w:t xml:space="preserve">= untere. TWIN (#1, #4) zusätzlich</w:t>
      </w:r>
      <w:r>
        <w:t xml:space="preserve"> </w:t>
      </w:r>
      <w:r>
        <w:rPr>
          <w:rStyle w:val="VerbatimChar"/>
        </w:rPr>
        <w:t xml:space="preserve">&lt;Nr&gt;-M</w:t>
      </w:r>
      <w:r>
        <w:t xml:space="preserve"> </w:t>
      </w:r>
      <w:r>
        <w:t xml:space="preserve">= Mitte.</w:t>
      </w:r>
    </w:p>
    <w:p>
      <w:pPr>
        <w:pStyle w:val="BodyText"/>
      </w:pPr>
      <w:r>
        <w:rPr>
          <w:b/>
          <w:bCs/>
        </w:rPr>
        <w:t xml:space="preserve">Bedeutung (Kabeleinführung von unten):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-U = Außen-/Tor-Seite</w:t>
      </w:r>
      <w:r>
        <w:t xml:space="preserve"> </w:t>
      </w:r>
      <w:r>
        <w:t xml:space="preserve">(AHK-Ader von der BFT, von unten)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-O = Innen-/Relais-Seite</w:t>
      </w:r>
      <w:r>
        <w:t xml:space="preserve"> </w:t>
      </w:r>
      <w:r>
        <w:t xml:space="preserve">(Funktionsfarben-Brücke zum RIF-0)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TWIN:</w:t>
      </w:r>
      <w:r>
        <w:t xml:space="preserve"> </w:t>
      </w:r>
      <w:r>
        <w:t xml:space="preserve">-U = COM-Eingang (unterer Einzelport), -O + -M = die 2 Abgänge zu den Relais</w:t>
      </w:r>
    </w:p>
    <w:p>
      <w:pPr>
        <w:pStyle w:val="Compact"/>
        <w:numPr>
          <w:ilvl w:val="0"/>
          <w:numId w:val="1003"/>
        </w:numPr>
      </w:pPr>
      <w:r>
        <w:t xml:space="preserve">Einheitlich:</w:t>
      </w:r>
      <w:r>
        <w:t xml:space="preserve"> </w:t>
      </w:r>
      <w:r>
        <w:rPr>
          <w:b/>
          <w:bCs/>
        </w:rPr>
        <w:t xml:space="preserve">oben = innen, unten = Tor</w:t>
      </w:r>
    </w:p>
    <w:p>
      <w:pPr>
        <w:pStyle w:val="FirstParagraph"/>
      </w:pPr>
      <w:r>
        <w:t xml:space="preserve">Relais behalten die Phoenix-Bezeichnung A1, A2, 11, 14. Eindeutige Referenz:</w:t>
      </w:r>
      <w:r>
        <w:t xml:space="preserve"> </w:t>
      </w:r>
      <w:r>
        <w:rPr>
          <w:rStyle w:val="VerbatimChar"/>
        </w:rPr>
        <w:t xml:space="preserve">Kl. 1-O</w:t>
      </w:r>
      <w:r>
        <w:t xml:space="preserve"> </w:t>
      </w:r>
      <w:r>
        <w:t xml:space="preserve">(Reihenklemme) vs. </w:t>
      </w:r>
      <w:r>
        <w:rPr>
          <w:rStyle w:val="VerbatimChar"/>
        </w:rPr>
        <w:t xml:space="preserve">R11-K11</w:t>
      </w:r>
      <w:r>
        <w:t xml:space="preserve"> </w:t>
      </w:r>
      <w:r>
        <w:t xml:space="preserve">(Relais).</w:t>
      </w:r>
    </w:p>
    <w:bookmarkEnd w:id="12"/>
    <w:bookmarkStart w:id="13" w:name="reihenklemmen-block-a-110-belegung"/>
    <w:p>
      <w:pPr>
        <w:pStyle w:val="Heading2"/>
      </w:pPr>
      <w:r>
        <w:t xml:space="preserve">4. Reihenklemmen Block A (1–10) — Belegung</w:t>
      </w:r>
    </w:p>
    <w:p>
      <w:pPr>
        <w:pStyle w:val="FirstParagraph"/>
      </w:pPr>
      <w:r>
        <w:rPr>
          <w:rStyle w:val="VerbatimChar"/>
        </w:rPr>
        <w:t xml:space="preserve">-O</w:t>
      </w:r>
      <w:r>
        <w:t xml:space="preserve">/</w:t>
      </w:r>
      <w:r>
        <w:rPr>
          <w:rStyle w:val="VerbatimChar"/>
        </w:rPr>
        <w:t xml:space="preserve">-M</w:t>
      </w:r>
      <w:r>
        <w:t xml:space="preserve"> </w:t>
      </w:r>
      <w:r>
        <w:t xml:space="preserve">sind verdrahtet,</w:t>
      </w:r>
      <w:r>
        <w:t xml:space="preserve"> </w:t>
      </w:r>
      <w:r>
        <w:rPr>
          <w:rStyle w:val="VerbatimChar"/>
        </w:rPr>
        <w:t xml:space="preserve">-U</w:t>
      </w:r>
      <w:r>
        <w:t xml:space="preserve"> </w:t>
      </w:r>
      <w:r>
        <w:t xml:space="preserve">(Tor-Seite) ist noch frei.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Klemme</w:t>
            </w:r>
          </w:p>
        </w:tc>
        <w:tc>
          <w:tcPr/>
          <w:p>
            <w:pPr>
              <w:pStyle w:val="Compact"/>
            </w:pPr>
            <w:r>
              <w:t xml:space="preserve">Funktion</w:t>
            </w:r>
          </w:p>
        </w:tc>
        <w:tc>
          <w:tcPr/>
          <w:p>
            <w:pPr>
              <w:pStyle w:val="Compact"/>
            </w:pPr>
            <w:r>
              <w:t xml:space="preserve">-O (innen)</w:t>
            </w:r>
          </w:p>
        </w:tc>
        <w:tc>
          <w:tcPr/>
          <w:p>
            <w:pPr>
              <w:pStyle w:val="Compact"/>
            </w:pPr>
            <w:r>
              <w:t xml:space="preserve">-M (TWIN)</w:t>
            </w:r>
          </w:p>
        </w:tc>
        <w:tc>
          <w:tcPr/>
          <w:p>
            <w:pPr>
              <w:pStyle w:val="Compact"/>
            </w:pPr>
            <w:r>
              <w:t xml:space="preserve">-U (Tor, später)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TWIN</w:t>
            </w:r>
          </w:p>
        </w:tc>
        <w:tc>
          <w:tcPr/>
          <w:p>
            <w:pPr>
              <w:pStyle w:val="Compact"/>
            </w:pPr>
            <w:r>
              <w:t xml:space="preserve">COM Hauptplatine</w:t>
            </w:r>
          </w:p>
        </w:tc>
        <w:tc>
          <w:tcPr/>
          <w:p>
            <w:pPr>
              <w:pStyle w:val="Compact"/>
            </w:pPr>
            <w:r>
              <w:t xml:space="preserve">Schwarz → R12-K14</w:t>
            </w:r>
          </w:p>
        </w:tc>
        <w:tc>
          <w:tcPr/>
          <w:p>
            <w:pPr>
              <w:pStyle w:val="Compact"/>
            </w:pPr>
            <w:r>
              <w:t xml:space="preserve">Schwarz → R14-K14</w:t>
            </w:r>
          </w:p>
        </w:tc>
        <w:tc>
          <w:tcPr/>
          <w:p>
            <w:pPr>
              <w:pStyle w:val="Compact"/>
            </w:pPr>
            <w:r>
              <w:t xml:space="preserve">AHK Schwarz ← BFT 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Open / Dauerauf</w:t>
            </w:r>
          </w:p>
        </w:tc>
        <w:tc>
          <w:tcPr/>
          <w:p>
            <w:pPr>
              <w:pStyle w:val="Compact"/>
            </w:pPr>
            <w:r>
              <w:t xml:space="preserve">Gelb → R14-K11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AHK Gelb ← BFT 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Grün → R12-K11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AHK Grün ← BFT 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TWIN</w:t>
            </w:r>
          </w:p>
        </w:tc>
        <w:tc>
          <w:tcPr/>
          <w:p>
            <w:pPr>
              <w:pStyle w:val="Compact"/>
            </w:pPr>
            <w:r>
              <w:t xml:space="preserve">COM EBD</w:t>
            </w:r>
          </w:p>
        </w:tc>
        <w:tc>
          <w:tcPr/>
          <w:p>
            <w:pPr>
              <w:pStyle w:val="Compact"/>
            </w:pPr>
            <w:r>
              <w:t xml:space="preserve">Braun → R11-K14</w:t>
            </w:r>
          </w:p>
        </w:tc>
        <w:tc>
          <w:tcPr/>
          <w:p>
            <w:pPr>
              <w:pStyle w:val="Compact"/>
            </w:pPr>
            <w:r>
              <w:t xml:space="preserve">Braun → R13-K14</w:t>
            </w:r>
          </w:p>
        </w:tc>
        <w:tc>
          <w:tcPr/>
          <w:p>
            <w:pPr>
              <w:pStyle w:val="Compact"/>
            </w:pPr>
            <w:r>
              <w:t xml:space="preserve">AHK Braun ← BFT 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Schritt / Start E</w:t>
            </w:r>
          </w:p>
        </w:tc>
        <w:tc>
          <w:tcPr/>
          <w:p>
            <w:pPr>
              <w:pStyle w:val="Compact"/>
            </w:pPr>
            <w:r>
              <w:t xml:space="preserve">Weiß → R13-K11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AHK Weiß ← BFT 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Open (Impuls)</w:t>
            </w:r>
          </w:p>
        </w:tc>
        <w:tc>
          <w:tcPr/>
          <w:p>
            <w:pPr>
              <w:pStyle w:val="Compact"/>
            </w:pPr>
            <w:r>
              <w:t xml:space="preserve">Grau → R11-K11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AHK Grau ← BFT 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Status Tor offen (Signal)</w:t>
            </w:r>
          </w:p>
        </w:tc>
        <w:tc>
          <w:tcPr/>
          <w:p>
            <w:pPr>
              <w:pStyle w:val="Compact"/>
            </w:pPr>
            <w:r>
              <w:t xml:space="preserve">Rot → R17-A1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AHK Rot ← BFT 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Status Tor zu (Signal)</w:t>
            </w:r>
          </w:p>
        </w:tc>
        <w:tc>
          <w:tcPr/>
          <w:p>
            <w:pPr>
              <w:pStyle w:val="Compact"/>
            </w:pPr>
            <w:r>
              <w:t xml:space="preserve">Rosa → R18-A1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AHK Rosa ← BFT 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+24 V Rückleiter offen</w:t>
            </w:r>
          </w:p>
        </w:tc>
        <w:tc>
          <w:tcPr/>
          <w:p>
            <w:pPr>
              <w:pStyle w:val="Compact"/>
            </w:pPr>
            <w:r>
              <w:t xml:space="preserve">Rot → von R-d (Einspeisung)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AHK (Farbe offen) → BFT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+24 V Rückleiter zu</w:t>
            </w:r>
          </w:p>
        </w:tc>
        <w:tc>
          <w:tcPr/>
          <w:p>
            <w:pPr>
              <w:pStyle w:val="Compact"/>
            </w:pPr>
            <w:r>
              <w:t xml:space="preserve">leer (FBS-Brücke von 9-O)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AHK Weiß-Blau → BFT 27</w:t>
            </w:r>
          </w:p>
        </w:tc>
      </w:tr>
    </w:tbl>
    <w:p>
      <w:pPr>
        <w:pStyle w:val="BodyText"/>
      </w:pPr>
      <w:r>
        <w:t xml:space="preserve">Hinweis: Klemme 10 erhält +24 V über die FBS 2-5 rot (brückt 9↔10). Die Farbe der +24 V-Rückleiter-Adern (9-U/10-U) ist noch in Prüfung (Blau-Zuordnung kollidiert mit der GND-Konvention).</w:t>
      </w:r>
    </w:p>
    <w:bookmarkEnd w:id="13"/>
    <w:bookmarkStart w:id="14" w:name="koppelrelais-1120-belegung"/>
    <w:p>
      <w:pPr>
        <w:pStyle w:val="Heading2"/>
      </w:pPr>
      <w:r>
        <w:t xml:space="preserve">5. Koppelrelais 11–20 — Belegung</w:t>
      </w:r>
    </w:p>
    <w:p>
      <w:pPr>
        <w:pStyle w:val="FirstParagraph"/>
      </w:pPr>
      <w:r>
        <w:t xml:space="preserve">A2 aller Relais = GND (durchgehende blaue Brücke 11–20, gespeist von Bl-b).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F-Rolle</w:t>
            </w:r>
          </w:p>
        </w:tc>
        <w:tc>
          <w:tcPr/>
          <w:p>
            <w:pPr>
              <w:pStyle w:val="Compact"/>
            </w:pPr>
            <w:r>
              <w:t xml:space="preserve">ESP</w:t>
            </w:r>
          </w:p>
        </w:tc>
        <w:tc>
          <w:tcPr/>
          <w:p>
            <w:pPr>
              <w:pStyle w:val="Compact"/>
            </w:pPr>
            <w:r>
              <w:t xml:space="preserve">Funktion</w:t>
            </w:r>
          </w:p>
        </w:tc>
        <w:tc>
          <w:tcPr/>
          <w:p>
            <w:pPr>
              <w:pStyle w:val="Compact"/>
            </w:pPr>
            <w:r>
              <w:t xml:space="preserve">A1 (Spule +)</w:t>
            </w:r>
          </w:p>
        </w:tc>
        <w:tc>
          <w:tcPr/>
          <w:p>
            <w:pPr>
              <w:pStyle w:val="Compact"/>
            </w:pPr>
            <w:r>
              <w:t xml:space="preserve">K11</w:t>
            </w:r>
          </w:p>
        </w:tc>
        <w:tc>
          <w:tcPr/>
          <w:p>
            <w:pPr>
              <w:pStyle w:val="Compact"/>
            </w:pPr>
            <w:r>
              <w:t xml:space="preserve">K14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Öffnen (BFT 65)</w:t>
            </w:r>
          </w:p>
        </w:tc>
        <w:tc>
          <w:tcPr/>
          <w:p>
            <w:pPr>
              <w:pStyle w:val="Compact"/>
            </w:pPr>
            <w:r>
              <w:t xml:space="preserve">von ESP r1 (später)</w:t>
            </w:r>
          </w:p>
        </w:tc>
        <w:tc>
          <w:tcPr/>
          <w:p>
            <w:pPr>
              <w:pStyle w:val="Compact"/>
            </w:pPr>
            <w:r>
              <w:t xml:space="preserve">Kl. 6</w:t>
            </w:r>
          </w:p>
        </w:tc>
        <w:tc>
          <w:tcPr/>
          <w:p>
            <w:pPr>
              <w:pStyle w:val="Compact"/>
            </w:pPr>
            <w:r>
              <w:t xml:space="preserve">Kl. 4 TWIN (COM EBD)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Schließen (BFT 62)</w:t>
            </w:r>
          </w:p>
        </w:tc>
        <w:tc>
          <w:tcPr/>
          <w:p>
            <w:pPr>
              <w:pStyle w:val="Compact"/>
            </w:pPr>
            <w:r>
              <w:t xml:space="preserve">von ESP r2 (später)</w:t>
            </w:r>
          </w:p>
        </w:tc>
        <w:tc>
          <w:tcPr/>
          <w:p>
            <w:pPr>
              <w:pStyle w:val="Compact"/>
            </w:pPr>
            <w:r>
              <w:t xml:space="preserve">Kl. 3</w:t>
            </w:r>
          </w:p>
        </w:tc>
        <w:tc>
          <w:tcPr/>
          <w:p>
            <w:pPr>
              <w:pStyle w:val="Compact"/>
            </w:pPr>
            <w:r>
              <w:t xml:space="preserve">Kl. 1 TWIN (COM Haupt)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Schritt (BFT 64)</w:t>
            </w:r>
          </w:p>
        </w:tc>
        <w:tc>
          <w:tcPr/>
          <w:p>
            <w:pPr>
              <w:pStyle w:val="Compact"/>
            </w:pPr>
            <w:r>
              <w:t xml:space="preserve">von ESP r3 (später)</w:t>
            </w:r>
          </w:p>
        </w:tc>
        <w:tc>
          <w:tcPr/>
          <w:p>
            <w:pPr>
              <w:pStyle w:val="Compact"/>
            </w:pPr>
            <w:r>
              <w:t xml:space="preserve">Kl. 5</w:t>
            </w:r>
          </w:p>
        </w:tc>
        <w:tc>
          <w:tcPr/>
          <w:p>
            <w:pPr>
              <w:pStyle w:val="Compact"/>
            </w:pPr>
            <w:r>
              <w:t xml:space="preserve">Kl. 4 TWIN (COM EBD)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Dauerauf/Ped (BFT 61)</w:t>
            </w:r>
          </w:p>
        </w:tc>
        <w:tc>
          <w:tcPr/>
          <w:p>
            <w:pPr>
              <w:pStyle w:val="Compact"/>
            </w:pPr>
            <w:r>
              <w:t xml:space="preserve">von ESP r4 (später)</w:t>
            </w:r>
          </w:p>
        </w:tc>
        <w:tc>
          <w:tcPr/>
          <w:p>
            <w:pPr>
              <w:pStyle w:val="Compact"/>
            </w:pPr>
            <w:r>
              <w:t xml:space="preserve">Kl. 2</w:t>
            </w:r>
          </w:p>
        </w:tc>
        <w:tc>
          <w:tcPr/>
          <w:p>
            <w:pPr>
              <w:pStyle w:val="Compact"/>
            </w:pPr>
            <w:r>
              <w:t xml:space="preserve">Kl. 1 TWIN (COM Haupt)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LED blau (Tor offen)</w:t>
            </w:r>
          </w:p>
        </w:tc>
        <w:tc>
          <w:tcPr/>
          <w:p>
            <w:pPr>
              <w:pStyle w:val="Compact"/>
            </w:pPr>
            <w:r>
              <w:t xml:space="preserve">von ESP r5 (später)</w:t>
            </w:r>
          </w:p>
        </w:tc>
        <w:tc>
          <w:tcPr/>
          <w:p>
            <w:pPr>
              <w:pStyle w:val="Compact"/>
            </w:pPr>
            <w:r>
              <w:t xml:space="preserve">+24 V (FBS 4-6 rot)</w:t>
            </w:r>
          </w:p>
        </w:tc>
        <w:tc>
          <w:tcPr/>
          <w:p>
            <w:pPr>
              <w:pStyle w:val="Compact"/>
            </w:pPr>
            <w:r>
              <w:t xml:space="preserve">LED blau → Kl.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LED rot (Dauerauf)</w:t>
            </w:r>
          </w:p>
        </w:tc>
        <w:tc>
          <w:tcPr/>
          <w:p>
            <w:pPr>
              <w:pStyle w:val="Compact"/>
            </w:pPr>
            <w:r>
              <w:t xml:space="preserve">von ESP r6 (später)</w:t>
            </w:r>
          </w:p>
        </w:tc>
        <w:tc>
          <w:tcPr/>
          <w:p>
            <w:pPr>
              <w:pStyle w:val="Compact"/>
            </w:pPr>
            <w:r>
              <w:t xml:space="preserve">+24 V (FBS 4-6 rot)</w:t>
            </w:r>
          </w:p>
        </w:tc>
        <w:tc>
          <w:tcPr/>
          <w:p>
            <w:pPr>
              <w:pStyle w:val="Compact"/>
            </w:pPr>
            <w:r>
              <w:t xml:space="preserve">LED rot → Kl. 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→DI1</w:t>
            </w:r>
          </w:p>
        </w:tc>
        <w:tc>
          <w:tcPr/>
          <w:p>
            <w:pPr>
              <w:pStyle w:val="Compact"/>
            </w:pPr>
            <w:r>
              <w:t xml:space="preserve">Status Tor offen (BFT 24)</w:t>
            </w:r>
          </w:p>
        </w:tc>
        <w:tc>
          <w:tcPr/>
          <w:p>
            <w:pPr>
              <w:pStyle w:val="Compact"/>
            </w:pPr>
            <w:r>
              <w:t xml:space="preserve">Kl. 7 (Signal)</w:t>
            </w:r>
          </w:p>
        </w:tc>
        <w:tc>
          <w:tcPr/>
          <w:p>
            <w:pPr>
              <w:pStyle w:val="Compact"/>
            </w:pPr>
            <w:r>
              <w:t xml:space="preserve">+24 V (FBS 4-6 rot)</w:t>
            </w:r>
          </w:p>
        </w:tc>
        <w:tc>
          <w:tcPr/>
          <w:p>
            <w:pPr>
              <w:pStyle w:val="Compact"/>
            </w:pPr>
            <w:r>
              <w:t xml:space="preserve">ESP DI1 (später)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→DI2</w:t>
            </w:r>
          </w:p>
        </w:tc>
        <w:tc>
          <w:tcPr/>
          <w:p>
            <w:pPr>
              <w:pStyle w:val="Compact"/>
            </w:pPr>
            <w:r>
              <w:t xml:space="preserve">Status Tor zu (BFT 26)</w:t>
            </w:r>
          </w:p>
        </w:tc>
        <w:tc>
          <w:tcPr/>
          <w:p>
            <w:pPr>
              <w:pStyle w:val="Compact"/>
            </w:pPr>
            <w:r>
              <w:t xml:space="preserve">Kl. 8 (Signal)</w:t>
            </w:r>
          </w:p>
        </w:tc>
        <w:tc>
          <w:tcPr/>
          <w:p>
            <w:pPr>
              <w:pStyle w:val="Compact"/>
            </w:pPr>
            <w:r>
              <w:t xml:space="preserve">+24 V (FBS 4-6 rot)</w:t>
            </w:r>
          </w:p>
        </w:tc>
        <w:tc>
          <w:tcPr/>
          <w:p>
            <w:pPr>
              <w:pStyle w:val="Compact"/>
            </w:pPr>
            <w:r>
              <w:t xml:space="preserve">ESP DI2 (später)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→DI3</w:t>
            </w:r>
          </w:p>
        </w:tc>
        <w:tc>
          <w:tcPr/>
          <w:p>
            <w:pPr>
              <w:pStyle w:val="Compact"/>
            </w:pPr>
            <w:r>
              <w:t xml:space="preserve">Taster Dauerauf (Koppelrelais)</w:t>
            </w:r>
          </w:p>
        </w:tc>
        <w:tc>
          <w:tcPr/>
          <w:p>
            <w:pPr>
              <w:pStyle w:val="Compact"/>
            </w:pPr>
            <w:r>
              <w:t xml:space="preserve">Kl. 26 (Weiß-Schwarz)</w:t>
            </w:r>
          </w:p>
        </w:tc>
        <w:tc>
          <w:tcPr/>
          <w:p>
            <w:pPr>
              <w:pStyle w:val="Compact"/>
            </w:pPr>
            <w:r>
              <w:t xml:space="preserve">+24 V (R-h)</w:t>
            </w:r>
          </w:p>
        </w:tc>
        <w:tc>
          <w:tcPr/>
          <w:p>
            <w:pPr>
              <w:pStyle w:val="Compact"/>
            </w:pPr>
            <w:r>
              <w:t xml:space="preserve">ESP DI3 (später)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Reserve (frei)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bookmarkEnd w:id="14"/>
    <w:bookmarkStart w:id="15" w:name="Xea0927a6af762e1808f1b0eb31eb8863eab3dbf"/>
    <w:p>
      <w:pPr>
        <w:pStyle w:val="Heading2"/>
      </w:pPr>
      <w:r>
        <w:t xml:space="preserve">6. Interne Brücken Klemme↔Relais (Funktionsfarbe)</w:t>
      </w:r>
    </w:p>
    <w:p>
      <w:pPr>
        <w:pStyle w:val="FirstParagraph"/>
      </w:pPr>
      <w:r>
        <w:rPr>
          <w:b/>
          <w:bCs/>
        </w:rPr>
        <w:t xml:space="preserve">Verdrahtet + verifiziert (03-06-2026).</w:t>
      </w:r>
      <w:r>
        <w:t xml:space="preserve"> </w:t>
      </w:r>
      <w:r>
        <w:t xml:space="preserve">Adern auf der oberen Reihe -O/-M, untere Reihe -U bleibt frei für die Tor-Adern.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Von</w:t>
            </w:r>
          </w:p>
        </w:tc>
        <w:tc>
          <w:tcPr/>
          <w:p>
            <w:pPr>
              <w:pStyle w:val="Compact"/>
            </w:pPr>
            <w:r>
              <w:t xml:space="preserve">Farbe</w:t>
            </w:r>
          </w:p>
        </w:tc>
        <w:tc>
          <w:tcPr/>
          <w:p>
            <w:pPr>
              <w:pStyle w:val="Compact"/>
            </w:pPr>
            <w:r>
              <w:t xml:space="preserve">Quelle</w:t>
            </w:r>
          </w:p>
        </w:tc>
        <w:tc>
          <w:tcPr/>
          <w:p>
            <w:pPr>
              <w:pStyle w:val="Compact"/>
            </w:pPr>
            <w:r>
              <w:t xml:space="preserve">Nach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6-O</w:t>
            </w:r>
          </w:p>
        </w:tc>
        <w:tc>
          <w:tcPr/>
          <w:p>
            <w:pPr>
              <w:pStyle w:val="Compact"/>
            </w:pPr>
            <w:r>
              <w:t xml:space="preserve">Grau</w:t>
            </w:r>
          </w:p>
        </w:tc>
        <w:tc>
          <w:tcPr/>
          <w:p>
            <w:pPr>
              <w:pStyle w:val="Compact"/>
            </w:pPr>
            <w:r>
              <w:t xml:space="preserve">AHK</w:t>
            </w:r>
          </w:p>
        </w:tc>
        <w:tc>
          <w:tcPr/>
          <w:p>
            <w:pPr>
              <w:pStyle w:val="Compact"/>
            </w:pPr>
            <w:r>
              <w:t xml:space="preserve">R11-K11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4-O</w:t>
            </w:r>
          </w:p>
        </w:tc>
        <w:tc>
          <w:tcPr/>
          <w:p>
            <w:pPr>
              <w:pStyle w:val="Compact"/>
            </w:pPr>
            <w:r>
              <w:t xml:space="preserve">Braun</w:t>
            </w:r>
          </w:p>
        </w:tc>
        <w:tc>
          <w:tcPr/>
          <w:p>
            <w:pPr>
              <w:pStyle w:val="Compact"/>
            </w:pPr>
            <w:r>
              <w:t xml:space="preserve">AHK</w:t>
            </w:r>
          </w:p>
        </w:tc>
        <w:tc>
          <w:tcPr/>
          <w:p>
            <w:pPr>
              <w:pStyle w:val="Compact"/>
            </w:pPr>
            <w:r>
              <w:t xml:space="preserve">R11-K14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4-M</w:t>
            </w:r>
          </w:p>
        </w:tc>
        <w:tc>
          <w:tcPr/>
          <w:p>
            <w:pPr>
              <w:pStyle w:val="Compact"/>
            </w:pPr>
            <w:r>
              <w:t xml:space="preserve">Braun</w:t>
            </w:r>
          </w:p>
        </w:tc>
        <w:tc>
          <w:tcPr/>
          <w:p>
            <w:pPr>
              <w:pStyle w:val="Compact"/>
            </w:pPr>
            <w:r>
              <w:t xml:space="preserve">AHK</w:t>
            </w:r>
          </w:p>
        </w:tc>
        <w:tc>
          <w:tcPr/>
          <w:p>
            <w:pPr>
              <w:pStyle w:val="Compact"/>
            </w:pPr>
            <w:r>
              <w:t xml:space="preserve">R13-K14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3-O</w:t>
            </w:r>
          </w:p>
        </w:tc>
        <w:tc>
          <w:tcPr/>
          <w:p>
            <w:pPr>
              <w:pStyle w:val="Compact"/>
            </w:pPr>
            <w:r>
              <w:t xml:space="preserve">Grün</w:t>
            </w:r>
          </w:p>
        </w:tc>
        <w:tc>
          <w:tcPr/>
          <w:p>
            <w:pPr>
              <w:pStyle w:val="Compact"/>
            </w:pPr>
            <w:r>
              <w:t xml:space="preserve">Einzel</w:t>
            </w:r>
          </w:p>
        </w:tc>
        <w:tc>
          <w:tcPr/>
          <w:p>
            <w:pPr>
              <w:pStyle w:val="Compact"/>
            </w:pPr>
            <w:r>
              <w:t xml:space="preserve">R12-K11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1-O</w:t>
            </w:r>
          </w:p>
        </w:tc>
        <w:tc>
          <w:tcPr/>
          <w:p>
            <w:pPr>
              <w:pStyle w:val="Compact"/>
            </w:pPr>
            <w:r>
              <w:t xml:space="preserve">Schwarz</w:t>
            </w:r>
          </w:p>
        </w:tc>
        <w:tc>
          <w:tcPr/>
          <w:p>
            <w:pPr>
              <w:pStyle w:val="Compact"/>
            </w:pPr>
            <w:r>
              <w:t xml:space="preserve">Einzel</w:t>
            </w:r>
          </w:p>
        </w:tc>
        <w:tc>
          <w:tcPr/>
          <w:p>
            <w:pPr>
              <w:pStyle w:val="Compact"/>
            </w:pPr>
            <w:r>
              <w:t xml:space="preserve">R12-K14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1-M</w:t>
            </w:r>
          </w:p>
        </w:tc>
        <w:tc>
          <w:tcPr/>
          <w:p>
            <w:pPr>
              <w:pStyle w:val="Compact"/>
            </w:pPr>
            <w:r>
              <w:t xml:space="preserve">Schwarz</w:t>
            </w:r>
          </w:p>
        </w:tc>
        <w:tc>
          <w:tcPr/>
          <w:p>
            <w:pPr>
              <w:pStyle w:val="Compact"/>
            </w:pPr>
            <w:r>
              <w:t xml:space="preserve">Einzel</w:t>
            </w:r>
          </w:p>
        </w:tc>
        <w:tc>
          <w:tcPr/>
          <w:p>
            <w:pPr>
              <w:pStyle w:val="Compact"/>
            </w:pPr>
            <w:r>
              <w:t xml:space="preserve">R14-K14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5-O</w:t>
            </w:r>
          </w:p>
        </w:tc>
        <w:tc>
          <w:tcPr/>
          <w:p>
            <w:pPr>
              <w:pStyle w:val="Compact"/>
            </w:pPr>
            <w:r>
              <w:t xml:space="preserve">Weiß</w:t>
            </w:r>
          </w:p>
        </w:tc>
        <w:tc>
          <w:tcPr/>
          <w:p>
            <w:pPr>
              <w:pStyle w:val="Compact"/>
            </w:pPr>
            <w:r>
              <w:t xml:space="preserve">Einzel</w:t>
            </w:r>
          </w:p>
        </w:tc>
        <w:tc>
          <w:tcPr/>
          <w:p>
            <w:pPr>
              <w:pStyle w:val="Compact"/>
            </w:pPr>
            <w:r>
              <w:t xml:space="preserve">R13-K11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2-O</w:t>
            </w:r>
          </w:p>
        </w:tc>
        <w:tc>
          <w:tcPr/>
          <w:p>
            <w:pPr>
              <w:pStyle w:val="Compact"/>
            </w:pPr>
            <w:r>
              <w:t xml:space="preserve">Gelb</w:t>
            </w:r>
          </w:p>
        </w:tc>
        <w:tc>
          <w:tcPr/>
          <w:p>
            <w:pPr>
              <w:pStyle w:val="Compact"/>
            </w:pPr>
            <w:r>
              <w:t xml:space="preserve">Einzel</w:t>
            </w:r>
          </w:p>
        </w:tc>
        <w:tc>
          <w:tcPr/>
          <w:p>
            <w:pPr>
              <w:pStyle w:val="Compact"/>
            </w:pPr>
            <w:r>
              <w:t xml:space="preserve">R14-K11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7-O</w:t>
            </w:r>
          </w:p>
        </w:tc>
        <w:tc>
          <w:tcPr/>
          <w:p>
            <w:pPr>
              <w:pStyle w:val="Compact"/>
            </w:pPr>
            <w:r>
              <w:t xml:space="preserve">Rot</w:t>
            </w:r>
          </w:p>
        </w:tc>
        <w:tc>
          <w:tcPr/>
          <w:p>
            <w:pPr>
              <w:pStyle w:val="Compact"/>
            </w:pPr>
            <w:r>
              <w:t xml:space="preserve">Einzel</w:t>
            </w:r>
          </w:p>
        </w:tc>
        <w:tc>
          <w:tcPr/>
          <w:p>
            <w:pPr>
              <w:pStyle w:val="Compact"/>
            </w:pPr>
            <w:r>
              <w:t xml:space="preserve">R17-A1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8-O</w:t>
            </w:r>
          </w:p>
        </w:tc>
        <w:tc>
          <w:tcPr/>
          <w:p>
            <w:pPr>
              <w:pStyle w:val="Compact"/>
            </w:pPr>
            <w:r>
              <w:t xml:space="preserve">Rosa</w:t>
            </w:r>
          </w:p>
        </w:tc>
        <w:tc>
          <w:tcPr/>
          <w:p>
            <w:pPr>
              <w:pStyle w:val="Compact"/>
            </w:pPr>
            <w:r>
              <w:t xml:space="preserve">AHK</w:t>
            </w:r>
          </w:p>
        </w:tc>
        <w:tc>
          <w:tcPr/>
          <w:p>
            <w:pPr>
              <w:pStyle w:val="Compact"/>
            </w:pPr>
            <w:r>
              <w:t xml:space="preserve">R18-A1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Quellen-Regel:</w:t>
      </w:r>
      <w:r>
        <w:t xml:space="preserve"> </w:t>
      </w:r>
      <w:r>
        <w:t xml:space="preserve">Bei Farbgleichheit Einzelader (20 AWG) bevorzugen — schont das AHK-Kabel. Einzeladern vorrätig: Gelb, Schwarz, Grün, Blau, Weiß, Rot. Nur Grau, Braun, Rosa, Weiß-Blau aus dem AHK-Rest ernten.</w:t>
      </w:r>
    </w:p>
    <w:bookmarkEnd w:id="15"/>
    <w:bookmarkStart w:id="16" w:name="versorgungs-stiche-r-bl-block-relais"/>
    <w:p>
      <w:pPr>
        <w:pStyle w:val="Heading2"/>
      </w:pPr>
      <w:r>
        <w:t xml:space="preserve">7. Versorgungs-Stiche (R-/Bl-Block → Relais)</w:t>
      </w:r>
    </w:p>
    <w:p>
      <w:pPr>
        <w:pStyle w:val="FirstParagraph"/>
      </w:pPr>
      <w:r>
        <w:rPr>
          <w:b/>
          <w:bCs/>
        </w:rPr>
        <w:t xml:space="preserve">Verdrahtet (03-06-2026).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bleibt frei für die PSU-Zuleitung.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Von</w:t>
            </w:r>
          </w:p>
        </w:tc>
        <w:tc>
          <w:tcPr/>
          <w:p>
            <w:pPr>
              <w:pStyle w:val="Compact"/>
            </w:pPr>
            <w:r>
              <w:t xml:space="preserve">Farbe</w:t>
            </w:r>
          </w:p>
        </w:tc>
        <w:tc>
          <w:tcPr/>
          <w:p>
            <w:pPr>
              <w:pStyle w:val="Compact"/>
            </w:pPr>
            <w:r>
              <w:t xml:space="preserve">Nach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Bl-b</w:t>
            </w:r>
          </w:p>
        </w:tc>
        <w:tc>
          <w:tcPr/>
          <w:p>
            <w:pPr>
              <w:pStyle w:val="Compact"/>
            </w:pPr>
            <w:r>
              <w:t xml:space="preserve">Blau</w:t>
            </w:r>
          </w:p>
        </w:tc>
        <w:tc>
          <w:tcPr/>
          <w:p>
            <w:pPr>
              <w:pStyle w:val="Compact"/>
            </w:pPr>
            <w:r>
              <w:t xml:space="preserve">R11-A2</w:t>
            </w:r>
          </w:p>
        </w:tc>
        <w:tc>
          <w:tcPr/>
          <w:p>
            <w:pPr>
              <w:pStyle w:val="Compact"/>
            </w:pPr>
            <w:r>
              <w:t xml:space="preserve">speist blaue A2-Brücke → alle Relais-A2 = 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</w:t>
            </w:r>
          </w:p>
        </w:tc>
        <w:tc>
          <w:tcPr/>
          <w:p>
            <w:pPr>
              <w:pStyle w:val="Compact"/>
            </w:pPr>
            <w:r>
              <w:t xml:space="preserve">Rot</w:t>
            </w:r>
          </w:p>
        </w:tc>
        <w:tc>
          <w:tcPr/>
          <w:p>
            <w:pPr>
              <w:pStyle w:val="Compact"/>
            </w:pPr>
            <w:r>
              <w:t xml:space="preserve">R15-K11</w:t>
            </w:r>
          </w:p>
        </w:tc>
        <w:tc>
          <w:tcPr/>
          <w:p>
            <w:pPr>
              <w:pStyle w:val="Compact"/>
            </w:pPr>
            <w:r>
              <w:t xml:space="preserve">speist FBS 4-6 rot → K11 von 15–18 = +24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R-d</w:t>
            </w:r>
          </w:p>
        </w:tc>
        <w:tc>
          <w:tcPr/>
          <w:p>
            <w:pPr>
              <w:pStyle w:val="Compact"/>
            </w:pPr>
            <w:r>
              <w:t xml:space="preserve">Rot</w:t>
            </w:r>
          </w:p>
        </w:tc>
        <w:tc>
          <w:tcPr/>
          <w:p>
            <w:pPr>
              <w:pStyle w:val="Compact"/>
            </w:pPr>
            <w:r>
              <w:t xml:space="preserve">Kl. 9-O</w:t>
            </w:r>
          </w:p>
        </w:tc>
        <w:tc>
          <w:tcPr/>
          <w:p>
            <w:pPr>
              <w:pStyle w:val="Compact"/>
            </w:pPr>
            <w:r>
              <w:t xml:space="preserve">+24 V Status-Rückleiter (via FBS 2-5 rot auf 10)</w:t>
            </w:r>
          </w:p>
        </w:tc>
      </w:tr>
    </w:tbl>
    <w:bookmarkEnd w:id="16"/>
    <w:bookmarkStart w:id="17" w:name="block-c-2126-led-taster"/>
    <w:p>
      <w:pPr>
        <w:pStyle w:val="Heading2"/>
      </w:pPr>
      <w:r>
        <w:t xml:space="preserve">8. Block C (21–26) — LED + Taster</w:t>
      </w:r>
    </w:p>
    <w:p>
      <w:pPr>
        <w:pStyle w:val="FirstParagraph"/>
      </w:pPr>
      <w:r>
        <w:t xml:space="preserve">Ebenen: -O = innen (verdrahtet), -U = Gerät/außen (LED/Taster, später).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Klemme</w:t>
            </w:r>
          </w:p>
        </w:tc>
        <w:tc>
          <w:tcPr/>
          <w:p>
            <w:pPr>
              <w:pStyle w:val="Compact"/>
            </w:pPr>
            <w:r>
              <w:t xml:space="preserve">Funktion</w:t>
            </w:r>
          </w:p>
        </w:tc>
        <w:tc>
          <w:tcPr/>
          <w:p>
            <w:pPr>
              <w:pStyle w:val="Compact"/>
            </w:pPr>
            <w:r>
              <w:t xml:space="preserve">-O (innen)</w:t>
            </w:r>
          </w:p>
        </w:tc>
        <w:tc>
          <w:tcPr/>
          <w:p>
            <w:pPr>
              <w:pStyle w:val="Compact"/>
            </w:pPr>
            <w:r>
              <w:t xml:space="preserve">Farbe</w:t>
            </w:r>
          </w:p>
        </w:tc>
        <w:tc>
          <w:tcPr/>
          <w:p>
            <w:pPr>
              <w:pStyle w:val="Compact"/>
            </w:pPr>
            <w:r>
              <w:t xml:space="preserve">-U (Gerät, später)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LED blau (+)</w:t>
            </w:r>
          </w:p>
        </w:tc>
        <w:tc>
          <w:tcPr/>
          <w:p>
            <w:pPr>
              <w:pStyle w:val="Compact"/>
            </w:pPr>
            <w:r>
              <w:t xml:space="preserve">← R15-K14</w:t>
            </w:r>
          </w:p>
        </w:tc>
        <w:tc>
          <w:tcPr/>
          <w:p>
            <w:pPr>
              <w:pStyle w:val="Compact"/>
            </w:pPr>
            <w:r>
              <w:t xml:space="preserve">Rot</w:t>
            </w:r>
          </w:p>
        </w:tc>
        <w:tc>
          <w:tcPr/>
          <w:p>
            <w:pPr>
              <w:pStyle w:val="Compact"/>
            </w:pPr>
            <w:r>
              <w:t xml:space="preserve">LED blau Anode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LED rot (+)</w:t>
            </w:r>
          </w:p>
        </w:tc>
        <w:tc>
          <w:tcPr/>
          <w:p>
            <w:pPr>
              <w:pStyle w:val="Compact"/>
            </w:pPr>
            <w:r>
              <w:t xml:space="preserve">← R16-K14</w:t>
            </w:r>
          </w:p>
        </w:tc>
        <w:tc>
          <w:tcPr/>
          <w:p>
            <w:pPr>
              <w:pStyle w:val="Compact"/>
            </w:pPr>
            <w:r>
              <w:t xml:space="preserve">Rot</w:t>
            </w:r>
          </w:p>
        </w:tc>
        <w:tc>
          <w:tcPr/>
          <w:p>
            <w:pPr>
              <w:pStyle w:val="Compact"/>
            </w:pPr>
            <w:r>
              <w:t xml:space="preserve">LED rot Anode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LED blau (−)</w:t>
            </w:r>
          </w:p>
        </w:tc>
        <w:tc>
          <w:tcPr/>
          <w:p>
            <w:pPr>
              <w:pStyle w:val="Compact"/>
            </w:pPr>
            <w:r>
              <w:t xml:space="preserve">← Bl-d (GND), FBS 2-5 blau → 24</w:t>
            </w:r>
          </w:p>
        </w:tc>
        <w:tc>
          <w:tcPr/>
          <w:p>
            <w:pPr>
              <w:pStyle w:val="Compact"/>
            </w:pPr>
            <w:r>
              <w:t xml:space="preserve">Blau</w:t>
            </w:r>
          </w:p>
        </w:tc>
        <w:tc>
          <w:tcPr/>
          <w:p>
            <w:pPr>
              <w:pStyle w:val="Compact"/>
            </w:pPr>
            <w:r>
              <w:t xml:space="preserve">LED blau Kathode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LED rot (−)</w:t>
            </w:r>
          </w:p>
        </w:tc>
        <w:tc>
          <w:tcPr/>
          <w:p>
            <w:pPr>
              <w:pStyle w:val="Compact"/>
            </w:pPr>
            <w:r>
              <w:t xml:space="preserve">(via FBS von 23)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LED rot Kathode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Taster +24 V</w:t>
            </w:r>
          </w:p>
        </w:tc>
        <w:tc>
          <w:tcPr/>
          <w:p>
            <w:pPr>
              <w:pStyle w:val="Compact"/>
            </w:pPr>
            <w:r>
              <w:t xml:space="preserve">← R-f</w:t>
            </w:r>
          </w:p>
        </w:tc>
        <w:tc>
          <w:tcPr/>
          <w:p>
            <w:pPr>
              <w:pStyle w:val="Compact"/>
            </w:pPr>
            <w:r>
              <w:t xml:space="preserve">Rot</w:t>
            </w:r>
          </w:p>
        </w:tc>
        <w:tc>
          <w:tcPr/>
          <w:p>
            <w:pPr>
              <w:pStyle w:val="Compact"/>
            </w:pPr>
            <w:r>
              <w:t xml:space="preserve">Taster-Bein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Taster Signal</w:t>
            </w:r>
          </w:p>
        </w:tc>
        <w:tc>
          <w:tcPr/>
          <w:p>
            <w:pPr>
              <w:pStyle w:val="Compact"/>
            </w:pPr>
            <w:r>
              <w:t xml:space="preserve">→ R19-A1 (Koppelrelais → DI3)</w:t>
            </w:r>
          </w:p>
        </w:tc>
        <w:tc>
          <w:tcPr/>
          <w:p>
            <w:pPr>
              <w:pStyle w:val="Compact"/>
            </w:pPr>
            <w:r>
              <w:t xml:space="preserve">Weiß-Schwarz</w:t>
            </w:r>
          </w:p>
        </w:tc>
        <w:tc>
          <w:tcPr/>
          <w:p>
            <w:pPr>
              <w:pStyle w:val="Compact"/>
            </w:pPr>
            <w:r>
              <w:t xml:space="preserve">Taster-Bein 2</w:t>
            </w:r>
          </w:p>
        </w:tc>
      </w:tr>
    </w:tbl>
    <w:bookmarkEnd w:id="17"/>
    <w:bookmarkStart w:id="18" w:name="taster-koppelrelais-r19"/>
    <w:p>
      <w:pPr>
        <w:pStyle w:val="Heading2"/>
      </w:pPr>
      <w:r>
        <w:t xml:space="preserve">9. Taster-Koppelrelais R19</w:t>
      </w:r>
    </w:p>
    <w:p>
      <w:pPr>
        <w:pStyle w:val="FirstParagraph"/>
      </w:pPr>
      <w:r>
        <w:t xml:space="preserve">Der externe Taster läuft über ein eigenes Koppelrelais (Designprinzip „alle Feld-I/O über Relais”). R19 ist wie ein Status-Relais verschaltet:</w:t>
      </w:r>
    </w:p>
    <w:p>
      <w:pPr>
        <w:pStyle w:val="Compact"/>
        <w:numPr>
          <w:ilvl w:val="0"/>
          <w:numId w:val="1004"/>
        </w:numPr>
      </w:pPr>
      <w:r>
        <w:t xml:space="preserve">A1 ← Kl. 26 (Taster-Signal, Weiß-Schwarz)</w:t>
      </w:r>
    </w:p>
    <w:p>
      <w:pPr>
        <w:pStyle w:val="Compact"/>
        <w:numPr>
          <w:ilvl w:val="0"/>
          <w:numId w:val="1004"/>
        </w:numPr>
      </w:pPr>
      <w:r>
        <w:t xml:space="preserve">A2 = GND (blaue Brücke)</w:t>
      </w:r>
    </w:p>
    <w:p>
      <w:pPr>
        <w:pStyle w:val="Compact"/>
        <w:numPr>
          <w:ilvl w:val="0"/>
          <w:numId w:val="1004"/>
        </w:numPr>
      </w:pPr>
      <w:r>
        <w:t xml:space="preserve">K11 = +24 V (R-h, eigener Stich — R19 liegt außerhalb der FBS 4-6)</w:t>
      </w:r>
    </w:p>
    <w:p>
      <w:pPr>
        <w:pStyle w:val="Compact"/>
        <w:numPr>
          <w:ilvl w:val="0"/>
          <w:numId w:val="1004"/>
        </w:numPr>
      </w:pPr>
      <w:r>
        <w:t xml:space="preserve">K14 → ESP DI3 (später)</w:t>
      </w:r>
    </w:p>
    <w:p>
      <w:pPr>
        <w:pStyle w:val="FirstParagraph"/>
      </w:pPr>
      <w:r>
        <w:t xml:space="preserve">Drücken: +24 V (Kl. 25) → Taster → Kl. 26 → R19-Spule zieht an → K11(+24 V) → K14 → DI3.</w:t>
      </w:r>
    </w:p>
    <w:bookmarkEnd w:id="18"/>
    <w:bookmarkStart w:id="19" w:name="steckbrücken-inventar-verbaut"/>
    <w:p>
      <w:pPr>
        <w:pStyle w:val="Heading2"/>
      </w:pPr>
      <w:r>
        <w:t xml:space="preserve">10. Steckbrücken-Inventar (verbaut)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Brücke</w:t>
            </w:r>
          </w:p>
        </w:tc>
        <w:tc>
          <w:tcPr/>
          <w:p>
            <w:pPr>
              <w:pStyle w:val="Compact"/>
            </w:pPr>
            <w:r>
              <w:t xml:space="preserve">Einsatz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FBS 4-6 rot</w:t>
            </w:r>
          </w:p>
        </w:tc>
        <w:tc>
          <w:tcPr/>
          <w:p>
            <w:pPr>
              <w:pStyle w:val="Compact"/>
            </w:pPr>
            <w:r>
              <w:t xml:space="preserve">K11 der Relais 15–18 → +24 V-Sammelschiene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FBS 2-5 rot</w:t>
            </w:r>
          </w:p>
        </w:tc>
        <w:tc>
          <w:tcPr/>
          <w:p>
            <w:pPr>
              <w:pStyle w:val="Compact"/>
            </w:pPr>
            <w:r>
              <w:t xml:space="preserve">Klemmen 9↔10 → gemeinsamer +24 V-Statusrückleiter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FBS 2-5 blau</w:t>
            </w:r>
          </w:p>
        </w:tc>
        <w:tc>
          <w:tcPr/>
          <w:p>
            <w:pPr>
              <w:pStyle w:val="Compact"/>
            </w:pPr>
            <w:r>
              <w:t xml:space="preserve">Klemmen 23↔24 → LED-Kathoden auf 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(blau durchgehend)</w:t>
            </w:r>
          </w:p>
        </w:tc>
        <w:tc>
          <w:tcPr/>
          <w:p>
            <w:pPr>
              <w:pStyle w:val="Compact"/>
            </w:pPr>
            <w:r>
              <w:t xml:space="preserve">A2 der Relais 11–20 → GND</w:t>
            </w:r>
          </w:p>
        </w:tc>
      </w:tr>
    </w:tbl>
    <w:bookmarkEnd w:id="19"/>
    <w:bookmarkStart w:id="20" w:name="aderfarben-mapping-ahk-kabel-1305-mm²"/>
    <w:p>
      <w:pPr>
        <w:pStyle w:val="Heading2"/>
      </w:pPr>
      <w:r>
        <w:t xml:space="preserve">11. Aderfarben-Mapping (AHK-Kabel 13×0,5 mm²)</w:t>
      </w:r>
    </w:p>
    <w:p>
      <w:pPr>
        <w:pStyle w:val="FirstParagraph"/>
      </w:pPr>
      <w:r>
        <w:t xml:space="preserve">Durchgehende Farbcodierung: eine Farbe = eine Funktion, von der BFT-Klemme bis zum RIF-0.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PT-Klemme</w:t>
            </w:r>
          </w:p>
        </w:tc>
        <w:tc>
          <w:tcPr/>
          <w:p>
            <w:pPr>
              <w:pStyle w:val="Compact"/>
            </w:pPr>
            <w:r>
              <w:t xml:space="preserve">BFT</w:t>
            </w:r>
          </w:p>
        </w:tc>
        <w:tc>
          <w:tcPr/>
          <w:p>
            <w:pPr>
              <w:pStyle w:val="Compact"/>
            </w:pPr>
            <w:r>
              <w:t xml:space="preserve">Aderfarbe</w:t>
            </w:r>
          </w:p>
        </w:tc>
        <w:tc>
          <w:tcPr/>
          <w:p>
            <w:pPr>
              <w:pStyle w:val="Compact"/>
            </w:pPr>
            <w:r>
              <w:t xml:space="preserve">Funktion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(TWIN)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Schwarz</w:t>
            </w:r>
          </w:p>
        </w:tc>
        <w:tc>
          <w:tcPr/>
          <w:p>
            <w:pPr>
              <w:pStyle w:val="Compact"/>
            </w:pPr>
            <w:r>
              <w:t xml:space="preserve">COM Hauptplatine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Gelb</w:t>
            </w:r>
          </w:p>
        </w:tc>
        <w:tc>
          <w:tcPr/>
          <w:p>
            <w:pPr>
              <w:pStyle w:val="Compact"/>
            </w:pPr>
            <w:r>
              <w:t xml:space="preserve">Open (Dauerauf)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Grün</w:t>
            </w:r>
          </w:p>
        </w:tc>
        <w:tc>
          <w:tcPr/>
          <w:p>
            <w:pPr>
              <w:pStyle w:val="Compact"/>
            </w:pPr>
            <w:r>
              <w:t xml:space="preserve">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(TWIN)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Braun</w:t>
            </w:r>
          </w:p>
        </w:tc>
        <w:tc>
          <w:tcPr/>
          <w:p>
            <w:pPr>
              <w:pStyle w:val="Compact"/>
            </w:pPr>
            <w:r>
              <w:t xml:space="preserve">COM EBD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Weiß</w:t>
            </w:r>
          </w:p>
        </w:tc>
        <w:tc>
          <w:tcPr/>
          <w:p>
            <w:pPr>
              <w:pStyle w:val="Compact"/>
            </w:pPr>
            <w:r>
              <w:t xml:space="preserve">Start E (Schritt)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Grau</w:t>
            </w:r>
          </w:p>
        </w:tc>
        <w:tc>
          <w:tcPr/>
          <w:p>
            <w:pPr>
              <w:pStyle w:val="Compact"/>
            </w:pPr>
            <w:r>
              <w:t xml:space="preserve">Open (Impuls)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Rot</w:t>
            </w:r>
          </w:p>
        </w:tc>
        <w:tc>
          <w:tcPr/>
          <w:p>
            <w:pPr>
              <w:pStyle w:val="Compact"/>
            </w:pPr>
            <w:r>
              <w:t xml:space="preserve">Status Tor offen —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Rosa</w:t>
            </w:r>
          </w:p>
        </w:tc>
        <w:tc>
          <w:tcPr/>
          <w:p>
            <w:pPr>
              <w:pStyle w:val="Compact"/>
            </w:pPr>
            <w:r>
              <w:t xml:space="preserve">Status Tor zu —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(Farbe offen)</w:t>
            </w:r>
          </w:p>
        </w:tc>
        <w:tc>
          <w:tcPr/>
          <w:p>
            <w:pPr>
              <w:pStyle w:val="Compact"/>
            </w:pPr>
            <w:r>
              <w:t xml:space="preserve">Status offen — +24 V Rückleiter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Weiß-Blau</w:t>
            </w:r>
          </w:p>
        </w:tc>
        <w:tc>
          <w:tcPr/>
          <w:p>
            <w:pPr>
              <w:pStyle w:val="Compact"/>
            </w:pPr>
            <w:r>
              <w:t xml:space="preserve">Status zu — +24 V Rückleiter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11–13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Weiß-Schwarz · Weiß-Rot · Orange ⚠️</w:t>
            </w:r>
          </w:p>
        </w:tc>
        <w:tc>
          <w:tcPr/>
          <w:p>
            <w:pPr>
              <w:pStyle w:val="Compact"/>
            </w:pPr>
            <w:r>
              <w:t xml:space="preserve">Reserve</w:t>
            </w:r>
          </w:p>
        </w:tc>
      </w:tr>
    </w:tbl>
    <w:p>
      <w:pPr>
        <w:pStyle w:val="BodyText"/>
      </w:pPr>
      <w:r>
        <w:t xml:space="preserve">AHK-Adern vorhanden, aber noch nicht aufgelegt (Tor-Seite -U). Weiß-Schwarz ist intern für das Taster-Signal verwendet (Kl. 26 → R19-A1).</w:t>
      </w:r>
    </w:p>
    <w:bookmarkEnd w:id="20"/>
    <w:bookmarkStart w:id="21" w:name="designprinzipien"/>
    <w:p>
      <w:pPr>
        <w:pStyle w:val="Heading2"/>
      </w:pPr>
      <w:r>
        <w:t xml:space="preserve">12. Designprinzipien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Alle Feld-I/O über Koppelrelais:</w:t>
      </w:r>
      <w:r>
        <w:t xml:space="preserve"> </w:t>
      </w:r>
      <w:r>
        <w:t xml:space="preserve">Jede Leitung, die in den Außenbereich geht (Befehle, Status, LEDs, Taster), läuft über ein RIF-0 → galvanische Trennstelle zwischen ESP (innen) und Außenbereich. Schützt bei Fehler draußen (Kurzschluss/Überspannung/Feuchte/EMV).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Durchgehende Farbcodierung:</w:t>
      </w:r>
      <w:r>
        <w:t xml:space="preserve"> </w:t>
      </w:r>
      <w:r>
        <w:t xml:space="preserve">Funktionsfarbe von der BFT-Klemme bis zum Relais; Innenbrücken in derselben Farbe (Einzelader bevorzugt, sonst AHK-Rest).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Verdrahtung mit Aderendhülsen:</w:t>
      </w:r>
      <w:r>
        <w:t xml:space="preserve"> </w:t>
      </w:r>
      <w:r>
        <w:t xml:space="preserve">Alle Adern feindrähtig → isolierte 0,5er Hülsen (~8 mm, trapez gecrimpt), eine Ader pro Öffnung.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AHK-Orange meiden:</w:t>
      </w:r>
      <w:r>
        <w:t xml:space="preserve"> </w:t>
      </w:r>
      <w:r>
        <w:t xml:space="preserve">Die orange AHK-Ader ähnelt zu sehr der roten Einzelader → Verwechslungsgefahr; Orange bleibt unbenutzt in der Reserve.</w:t>
      </w:r>
    </w:p>
    <w:bookmarkEnd w:id="21"/>
    <w:bookmarkStart w:id="22" w:name="Xcd06cc067264985d2c46afa0d09e902caf4562e"/>
    <w:p>
      <w:pPr>
        <w:pStyle w:val="Heading2"/>
      </w:pPr>
      <w:r>
        <w:t xml:space="preserve">13. Offene Anschluss-Checkliste (ESP / Tor / 230 V)</w:t>
      </w:r>
    </w:p>
    <w:p>
      <w:pPr>
        <w:pStyle w:val="FirstParagraph"/>
      </w:pPr>
      <w:r>
        <w:rPr>
          <w:b/>
          <w:bCs/>
        </w:rPr>
        <w:t xml:space="preserve">A) ESP-Seite</w:t>
      </w:r>
      <w:r>
        <w:t xml:space="preserve"> </w:t>
      </w:r>
      <w:r>
        <w:t xml:space="preserve">(Waveshare in Reihe 1, PoE, VIN frei):</w:t>
      </w:r>
    </w:p>
    <w:p>
      <w:pPr>
        <w:pStyle w:val="Compact"/>
        <w:numPr>
          <w:ilvl w:val="0"/>
          <w:numId w:val="1006"/>
        </w:numPr>
      </w:pPr>
      <w:r>
        <w:t xml:space="preserve">A1 von R11–R16 ← Onboard-Relais r1–r6 (geschaltetes +24 V, schwarz)</w:t>
      </w:r>
    </w:p>
    <w:p>
      <w:pPr>
        <w:pStyle w:val="Compact"/>
        <w:numPr>
          <w:ilvl w:val="0"/>
          <w:numId w:val="1006"/>
        </w:numPr>
      </w:pPr>
      <w:r>
        <w:t xml:space="preserve">Onboard-Relais-COMs (r1–r6) ← +24 V (R-Block)</w:t>
      </w:r>
    </w:p>
    <w:p>
      <w:pPr>
        <w:pStyle w:val="Compact"/>
        <w:numPr>
          <w:ilvl w:val="0"/>
          <w:numId w:val="1006"/>
        </w:numPr>
      </w:pPr>
      <w:r>
        <w:t xml:space="preserve">K14 von R17→DI1, R18→DI2, R19→DI3</w:t>
      </w:r>
    </w:p>
    <w:p>
      <w:pPr>
        <w:pStyle w:val="Compact"/>
        <w:numPr>
          <w:ilvl w:val="0"/>
          <w:numId w:val="1006"/>
        </w:numPr>
      </w:pPr>
      <w:r>
        <w:t xml:space="preserve">ESP DI-COM → GND (Bl-Block) — Pflicht</w:t>
      </w:r>
    </w:p>
    <w:p>
      <w:pPr>
        <w:pStyle w:val="Compact"/>
        <w:numPr>
          <w:ilvl w:val="0"/>
          <w:numId w:val="1006"/>
        </w:numPr>
      </w:pPr>
      <w:r>
        <w:t xml:space="preserve">PoE-Cat-Kabel an ESP-RJ45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Freischalten:</w:t>
      </w:r>
      <w:r>
        <w:t xml:space="preserve"> </w:t>
      </w:r>
      <w:r>
        <w:t xml:space="preserve">siehe Sicherheitshinweis am Dokumentanfang — der Ausschalter trennt nur den 24-V-Kreis;</w:t>
      </w:r>
      <w:r>
        <w:t xml:space="preserve"> </w:t>
      </w:r>
      <w:r>
        <w:rPr>
          <w:b/>
          <w:bCs/>
        </w:rPr>
        <w:t xml:space="preserve">ESP (PoE) und BFT (eigene 230-V-Versorgung) bleiben unabhängig spannungsführend</w:t>
      </w:r>
      <w:r>
        <w:t xml:space="preserve"> </w:t>
      </w:r>
      <w:r>
        <w:t xml:space="preserve">(BFT speist die Klemmen 1–10).</w:t>
      </w:r>
    </w:p>
    <w:p>
      <w:pPr>
        <w:pStyle w:val="BodyText"/>
      </w:pPr>
      <w:r>
        <w:rPr>
          <w:b/>
          <w:bCs/>
        </w:rPr>
        <w:t xml:space="preserve">B) Geräteseite Block C</w:t>
      </w:r>
      <w:r>
        <w:t xml:space="preserve"> </w:t>
      </w:r>
      <w:r>
        <w:t xml:space="preserve">(-U):</w:t>
      </w:r>
    </w:p>
    <w:p>
      <w:pPr>
        <w:pStyle w:val="Compact"/>
        <w:numPr>
          <w:ilvl w:val="0"/>
          <w:numId w:val="1007"/>
        </w:numPr>
      </w:pPr>
      <w:r>
        <w:t xml:space="preserve">LED blau: + → 21-U, − → 23-U</w:t>
      </w:r>
    </w:p>
    <w:p>
      <w:pPr>
        <w:pStyle w:val="Compact"/>
        <w:numPr>
          <w:ilvl w:val="0"/>
          <w:numId w:val="1007"/>
        </w:numPr>
      </w:pPr>
      <w:r>
        <w:t xml:space="preserve">LED rot: + → 22-U, − → 24-U</w:t>
      </w:r>
    </w:p>
    <w:p>
      <w:pPr>
        <w:pStyle w:val="Compact"/>
        <w:numPr>
          <w:ilvl w:val="0"/>
          <w:numId w:val="1007"/>
        </w:numPr>
      </w:pPr>
      <w:r>
        <w:t xml:space="preserve">Taster: Bein 1 → 25-U, Bein 2 → 26-U</w:t>
      </w:r>
    </w:p>
    <w:p>
      <w:pPr>
        <w:pStyle w:val="FirstParagraph"/>
      </w:pPr>
      <w:r>
        <w:rPr>
          <w:b/>
          <w:bCs/>
        </w:rPr>
        <w:t xml:space="preserve">C) Tor-Seite — AHK-Adern auf -U der Klemmen 1–10:</w:t>
      </w:r>
    </w:p>
    <w:p>
      <w:pPr>
        <w:pStyle w:val="Compact"/>
        <w:numPr>
          <w:ilvl w:val="0"/>
          <w:numId w:val="1008"/>
        </w:numPr>
      </w:pPr>
      <w:r>
        <w:t xml:space="preserve">1-U Schwarz←BFT 60 · 2-U Gelb←61 · 3-U Grün←62 · 4-U Braun←63 · 5-U Weiß←64 · 6-U Grau←65 · 7-U Rot←24 · 8-U Rosa←26 · 9-U (offen)→25 · 10-U Weiß-Blau→27</w:t>
      </w:r>
    </w:p>
    <w:p>
      <w:pPr>
        <w:pStyle w:val="FirstParagraph"/>
      </w:pPr>
      <w:r>
        <w:rPr>
          <w:b/>
          <w:bCs/>
        </w:rPr>
        <w:t xml:space="preserve">D) 230 V + 24 V-Versorgung:</w:t>
      </w:r>
    </w:p>
    <w:p>
      <w:pPr>
        <w:pStyle w:val="Compact"/>
        <w:numPr>
          <w:ilvl w:val="0"/>
          <w:numId w:val="1009"/>
        </w:numPr>
      </w:pPr>
      <w:r>
        <w:t xml:space="preserve">230 V L/N/PE (Block B) einführen</w:t>
      </w:r>
    </w:p>
    <w:p>
      <w:pPr>
        <w:pStyle w:val="Compact"/>
        <w:numPr>
          <w:ilvl w:val="0"/>
          <w:numId w:val="1009"/>
        </w:numPr>
      </w:pPr>
      <w:r>
        <w:t xml:space="preserve">24 V-Netzteil auf Hutschiene (Reihe 1)</w:t>
      </w:r>
    </w:p>
    <w:p>
      <w:pPr>
        <w:pStyle w:val="Compact"/>
        <w:numPr>
          <w:ilvl w:val="0"/>
          <w:numId w:val="1009"/>
        </w:numPr>
      </w:pPr>
      <w:r>
        <w:t xml:space="preserve">PSU+ → Sicherung 27 → R-a (+24 V-Einspeisung)</w:t>
      </w:r>
    </w:p>
    <w:p>
      <w:pPr>
        <w:pStyle w:val="Compact"/>
        <w:numPr>
          <w:ilvl w:val="0"/>
          <w:numId w:val="1009"/>
        </w:numPr>
      </w:pPr>
      <w:r>
        <w:t xml:space="preserve">PSU− → Bl-a (GND-Einspeisung)</w:t>
      </w:r>
    </w:p>
    <w:p>
      <w:pPr>
        <w:pStyle w:val="Compact"/>
        <w:numPr>
          <w:ilvl w:val="0"/>
          <w:numId w:val="1009"/>
        </w:numPr>
      </w:pPr>
      <w:r>
        <w:t xml:space="preserve">Sicherung 28 = Reserve (falls ESP intern versorgt)</w:t>
      </w:r>
    </w:p>
    <w:p>
      <w:r>
        <w:pict>
          <v:rect style="width:0;height:1.5pt" o:hralign="center" o:hrstd="t" o:hr="t"/>
        </w:pict>
      </w:r>
    </w:p>
    <w:bookmarkEnd w:id="22"/>
    <w:bookmarkStart w:id="23" w:name="querverweise"/>
    <w:p>
      <w:pPr>
        <w:pStyle w:val="Heading2"/>
      </w:pPr>
      <w:r>
        <w:t xml:space="preserve">14. Querverweise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Firmware-/Software-Logik (ESPHome):</w:t>
      </w:r>
      <w:r>
        <w:t xml:space="preserve"> </w:t>
      </w:r>
      <w:r>
        <w:rPr>
          <w:rStyle w:val="VerbatimChar"/>
        </w:rPr>
        <w:t xml:space="preserve">Hoftor_Dokumentation_v0.35.docx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Live-Arbeitsdoku / vollständiger Stand: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</w:t>
      </w:r>
      <w:r>
        <w:rPr>
          <w:rStyle w:val="VerbatimChar"/>
        </w:rPr>
        <w:t xml:space="preserve">esp/hoftor</w:t>
      </w:r>
      <w:r>
        <w:t xml:space="preserve">, Abschnitt §6a)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BFT-Handbuch:</w:t>
      </w:r>
      <w:r>
        <w:t xml:space="preserve"> </w:t>
      </w:r>
      <w:r>
        <w:rPr>
          <w:rStyle w:val="VerbatimChar"/>
        </w:rPr>
        <w:t xml:space="preserve">THALIA_DUO_BT_A80_A160.pdf</w:t>
      </w:r>
      <w:r>
        <w:t xml:space="preserve"> </w:t>
      </w:r>
      <w:r>
        <w:t xml:space="preserve">(im Repo)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2026-06-03T09:34:04Z</dcterms:created>
  <dcterms:modified xsi:type="dcterms:W3CDTF">2026-06-03T09:34:04Z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