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188DB" w14:textId="4D7645C9" w:rsidR="00914917" w:rsidRPr="00914917" w:rsidRDefault="00914917" w:rsidP="0091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C29">
        <w:rPr>
          <w:rFonts w:ascii="Times New Roman" w:eastAsia="Times New Roman" w:hAnsi="Times New Roman" w:cs="Times New Roman"/>
          <w:b/>
          <w:bCs/>
          <w:sz w:val="36"/>
          <w:szCs w:val="36"/>
        </w:rPr>
        <w:t>Digest of Bain Summary</w:t>
      </w:r>
      <w:r w:rsidR="00DF46FD" w:rsidRPr="00064C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Plant Tour</w:t>
      </w:r>
    </w:p>
    <w:p w14:paraId="4C0BFFB1" w14:textId="77777777" w:rsidR="00914917" w:rsidRPr="00914917" w:rsidRDefault="00914917" w:rsidP="00914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Asset ROI Will Be Network-Driven</w:t>
      </w:r>
    </w:p>
    <w:p w14:paraId="035D03BE" w14:textId="43AFF232" w:rsidR="00914917" w:rsidRPr="00914917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sz w:val="24"/>
          <w:szCs w:val="24"/>
        </w:rPr>
        <w:t>Plants should not be evaluated in isolation</w:t>
      </w:r>
      <w:r w:rsidRPr="00064C29">
        <w:rPr>
          <w:rFonts w:ascii="Times New Roman" w:eastAsia="Times New Roman" w:hAnsi="Times New Roman" w:cs="Times New Roman"/>
          <w:sz w:val="24"/>
          <w:szCs w:val="24"/>
        </w:rPr>
        <w:t xml:space="preserve"> (categorize them by operating regions)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54CB8" w14:textId="77777777" w:rsidR="00914917" w:rsidRPr="00914917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sz w:val="24"/>
          <w:szCs w:val="24"/>
        </w:rPr>
        <w:t xml:space="preserve">Value must be unlocked via optimized </w:t>
      </w: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supply-demand pairings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cullet mix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3CE744" w14:textId="77777777" w:rsidR="00914917" w:rsidRPr="00914917" w:rsidRDefault="00914917" w:rsidP="00914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Each Plant Type Has a Clear Role</w:t>
      </w:r>
    </w:p>
    <w:p w14:paraId="7280ECEC" w14:textId="19F30ED2" w:rsidR="00914917" w:rsidRPr="00914917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Mega hubs</w:t>
      </w:r>
      <w:r w:rsidR="00DF46FD" w:rsidRPr="00064C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(HUB)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>: High-throughput, anchor tenants, efficient logistics</w:t>
      </w:r>
    </w:p>
    <w:p w14:paraId="570E160A" w14:textId="2127477B" w:rsidR="00914917" w:rsidRPr="00914917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Mid-sized</w:t>
      </w:r>
      <w:r w:rsidR="00DF46FD" w:rsidRPr="00064C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(SATELLITES)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>: Demand density or proximity-driven</w:t>
      </w:r>
    </w:p>
    <w:p w14:paraId="527064A9" w14:textId="490E276D" w:rsidR="00914917" w:rsidRPr="00914917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Pre-processing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>: Supply unlocking &amp; NGR leverage</w:t>
      </w:r>
    </w:p>
    <w:p w14:paraId="3CD277DE" w14:textId="77777777" w:rsidR="00914917" w:rsidRPr="00914917" w:rsidRDefault="00914917" w:rsidP="00914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Economics = Game Changer</w:t>
      </w:r>
    </w:p>
    <w:p w14:paraId="714D5CA2" w14:textId="5AC5E4E3" w:rsidR="00914917" w:rsidRPr="00914917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sz w:val="24"/>
          <w:szCs w:val="24"/>
        </w:rPr>
        <w:t xml:space="preserve">Lower logistics cost </w:t>
      </w:r>
      <w:r w:rsidRPr="00064C29">
        <w:rPr>
          <w:rFonts w:ascii="Times New Roman" w:eastAsia="Times New Roman" w:hAnsi="Times New Roman" w:cs="Times New Roman"/>
          <w:sz w:val="24"/>
          <w:szCs w:val="24"/>
        </w:rPr>
        <w:t xml:space="preserve">and operational complexity </w:t>
      </w:r>
      <w:r w:rsidRPr="00914917">
        <w:rPr>
          <w:rFonts w:ascii="Times New Roman" w:eastAsia="Times New Roman" w:hAnsi="Times New Roman" w:cs="Times New Roman"/>
          <w:sz w:val="24"/>
          <w:szCs w:val="24"/>
        </w:rPr>
        <w:t>by cleaning upstream</w:t>
      </w:r>
    </w:p>
    <w:p w14:paraId="3FE79CA7" w14:textId="77777777" w:rsidR="00914917" w:rsidRPr="00914917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sz w:val="24"/>
          <w:szCs w:val="24"/>
        </w:rPr>
        <w:t>Access new rail corridors or balance color inventories</w:t>
      </w:r>
    </w:p>
    <w:p w14:paraId="3371786D" w14:textId="77777777" w:rsidR="00914917" w:rsidRPr="00914917" w:rsidRDefault="00914917" w:rsidP="00914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b/>
          <w:bCs/>
          <w:sz w:val="24"/>
          <w:szCs w:val="24"/>
        </w:rPr>
        <w:t>Color &amp; Use-Mix Will Dictate Facility Value</w:t>
      </w:r>
    </w:p>
    <w:p w14:paraId="2325CB8F" w14:textId="4D60012B" w:rsidR="00914917" w:rsidRPr="00064C29" w:rsidRDefault="00914917" w:rsidP="009149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17">
        <w:rPr>
          <w:rFonts w:ascii="Times New Roman" w:eastAsia="Times New Roman" w:hAnsi="Times New Roman" w:cs="Times New Roman"/>
          <w:sz w:val="24"/>
          <w:szCs w:val="24"/>
        </w:rPr>
        <w:t>Plant ROI will be sensitive to cullet color availability, regional demand constraints (e.g., limited amber offtake), and yield differentials by cullet quality.</w:t>
      </w:r>
    </w:p>
    <w:p w14:paraId="77199D98" w14:textId="71E59A1C" w:rsidR="00DF46FD" w:rsidRPr="00064C29" w:rsidRDefault="00DF46FD" w:rsidP="00DF4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29">
        <w:rPr>
          <w:rFonts w:ascii="Times New Roman" w:eastAsia="Times New Roman" w:hAnsi="Times New Roman" w:cs="Times New Roman"/>
          <w:sz w:val="24"/>
          <w:szCs w:val="24"/>
        </w:rPr>
        <w:t>Questions for team to think about:</w:t>
      </w:r>
    </w:p>
    <w:p w14:paraId="10562101" w14:textId="186110E9" w:rsidR="00DF46FD" w:rsidRPr="00064C29" w:rsidRDefault="00DF46FD" w:rsidP="00DF4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29">
        <w:rPr>
          <w:rFonts w:ascii="Times New Roman" w:eastAsia="Times New Roman" w:hAnsi="Times New Roman" w:cs="Times New Roman"/>
          <w:sz w:val="24"/>
          <w:szCs w:val="24"/>
        </w:rPr>
        <w:t>How might a corporate controlled maintenance schedule &amp; team change the throughput and operational effectiveness of our plant?</w:t>
      </w:r>
    </w:p>
    <w:p w14:paraId="5ED27E4E" w14:textId="13F0F0E7" w:rsidR="00DF46FD" w:rsidRPr="00914917" w:rsidRDefault="00DF46FD" w:rsidP="00DF4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29">
        <w:rPr>
          <w:rFonts w:ascii="Times New Roman" w:eastAsia="Times New Roman" w:hAnsi="Times New Roman" w:cs="Times New Roman"/>
          <w:sz w:val="24"/>
          <w:szCs w:val="24"/>
        </w:rPr>
        <w:t>How might we simplify our product lines</w:t>
      </w:r>
      <w:r w:rsidR="009068B4" w:rsidRPr="00064C29">
        <w:rPr>
          <w:rFonts w:ascii="Times New Roman" w:eastAsia="Times New Roman" w:hAnsi="Times New Roman" w:cs="Times New Roman"/>
          <w:sz w:val="24"/>
          <w:szCs w:val="24"/>
        </w:rPr>
        <w:t xml:space="preserve"> or processes</w:t>
      </w:r>
      <w:r w:rsidRPr="00064C29">
        <w:rPr>
          <w:rFonts w:ascii="Times New Roman" w:eastAsia="Times New Roman" w:hAnsi="Times New Roman" w:cs="Times New Roman"/>
          <w:sz w:val="24"/>
          <w:szCs w:val="24"/>
        </w:rPr>
        <w:t xml:space="preserve"> by leveraging the concept of hubs and satellites?</w:t>
      </w:r>
      <w:r w:rsidR="00CD776B" w:rsidRPr="00064C29">
        <w:rPr>
          <w:rFonts w:ascii="Times New Roman" w:eastAsia="Times New Roman" w:hAnsi="Times New Roman" w:cs="Times New Roman"/>
          <w:sz w:val="24"/>
          <w:szCs w:val="24"/>
        </w:rPr>
        <w:t xml:space="preserve"> Yield at each process is a multiplier for overall efficiency.</w:t>
      </w:r>
    </w:p>
    <w:p w14:paraId="12C5F229" w14:textId="70E93F3F" w:rsidR="00E24711" w:rsidRPr="00064C29" w:rsidRDefault="00E24711" w:rsidP="00E24711">
      <w:pPr>
        <w:pStyle w:val="Heading2"/>
      </w:pPr>
      <w:r w:rsidRPr="00064C29">
        <w:rPr>
          <w:rStyle w:val="Strong"/>
          <w:rFonts w:eastAsiaTheme="majorEastAsia"/>
          <w:b/>
          <w:bCs/>
        </w:rPr>
        <w:t>Module 1: Regional Supply &amp; Demand Intelligence</w:t>
      </w:r>
    </w:p>
    <w:p w14:paraId="4EE7B81B" w14:textId="2AC0135C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Objective:</w:t>
      </w:r>
    </w:p>
    <w:p w14:paraId="2A8EB9E7" w14:textId="77777777" w:rsidR="00E24711" w:rsidRPr="00064C29" w:rsidRDefault="00E24711" w:rsidP="00E2471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 xml:space="preserve">Build a dynamic, assumption-driven model that maps </w:t>
      </w:r>
      <w:r w:rsidRPr="00064C29">
        <w:rPr>
          <w:rStyle w:val="Strong"/>
          <w:rFonts w:ascii="Times New Roman" w:hAnsi="Times New Roman" w:cs="Times New Roman"/>
        </w:rPr>
        <w:t>incoming waste streams</w:t>
      </w:r>
      <w:r w:rsidRPr="00064C29">
        <w:rPr>
          <w:rFonts w:ascii="Times New Roman" w:hAnsi="Times New Roman" w:cs="Times New Roman"/>
        </w:rPr>
        <w:t xml:space="preserve"> and </w:t>
      </w:r>
      <w:r w:rsidRPr="00064C29">
        <w:rPr>
          <w:rStyle w:val="Strong"/>
          <w:rFonts w:ascii="Times New Roman" w:hAnsi="Times New Roman" w:cs="Times New Roman"/>
        </w:rPr>
        <w:t>end-market demand</w:t>
      </w:r>
      <w:r w:rsidRPr="00064C29">
        <w:rPr>
          <w:rFonts w:ascii="Times New Roman" w:hAnsi="Times New Roman" w:cs="Times New Roman"/>
        </w:rPr>
        <w:t xml:space="preserve"> by region and </w:t>
      </w:r>
      <w:r w:rsidRPr="00064C29">
        <w:rPr>
          <w:rStyle w:val="Strong"/>
          <w:rFonts w:ascii="Times New Roman" w:hAnsi="Times New Roman" w:cs="Times New Roman"/>
        </w:rPr>
        <w:t>glass type</w:t>
      </w:r>
      <w:r w:rsidRPr="00064C29">
        <w:rPr>
          <w:rFonts w:ascii="Times New Roman" w:hAnsi="Times New Roman" w:cs="Times New Roman"/>
        </w:rPr>
        <w:t>, to highlight where Sibelco should invest in recycling infrastructure.</w:t>
      </w:r>
    </w:p>
    <w:p w14:paraId="550453AD" w14:textId="204FC2CD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Required Data Inputs:</w:t>
      </w:r>
    </w:p>
    <w:p w14:paraId="220AF5B5" w14:textId="77777777" w:rsidR="00E24711" w:rsidRPr="00064C29" w:rsidRDefault="00E24711" w:rsidP="00E24711">
      <w:pPr>
        <w:pStyle w:val="Heading4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 xml:space="preserve">A. </w:t>
      </w:r>
      <w:r w:rsidRPr="00064C29">
        <w:rPr>
          <w:rStyle w:val="Strong"/>
          <w:rFonts w:ascii="Times New Roman" w:hAnsi="Times New Roman" w:cs="Times New Roman"/>
          <w:b w:val="0"/>
          <w:bCs w:val="0"/>
        </w:rPr>
        <w:t>Supply-Side (Incoming Waste)</w:t>
      </w:r>
    </w:p>
    <w:p w14:paraId="1980DCC6" w14:textId="77777777" w:rsidR="00E24711" w:rsidRPr="00064C29" w:rsidRDefault="00E24711" w:rsidP="00E24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By Region</w:t>
      </w:r>
      <w:r w:rsidRPr="00064C29">
        <w:rPr>
          <w:rFonts w:ascii="Times New Roman" w:hAnsi="Times New Roman" w:cs="Times New Roman"/>
        </w:rPr>
        <w:t>: West, Midwest, Northeast, Southeast</w:t>
      </w:r>
    </w:p>
    <w:p w14:paraId="7FA25E5C" w14:textId="77777777" w:rsidR="00E24711" w:rsidRPr="00064C29" w:rsidRDefault="00E24711" w:rsidP="00E24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By Source Type</w:t>
      </w:r>
      <w:r w:rsidRPr="00064C29">
        <w:rPr>
          <w:rFonts w:ascii="Times New Roman" w:hAnsi="Times New Roman" w:cs="Times New Roman"/>
        </w:rPr>
        <w:t>:</w:t>
      </w:r>
    </w:p>
    <w:p w14:paraId="130AE5BD" w14:textId="77777777" w:rsidR="00E24711" w:rsidRPr="00064C29" w:rsidRDefault="00E24711" w:rsidP="00E247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Curbside glass (clean vs. MRF 3-mix)</w:t>
      </w:r>
    </w:p>
    <w:p w14:paraId="241C2FF2" w14:textId="77777777" w:rsidR="00E24711" w:rsidRPr="00064C29" w:rsidRDefault="00E24711" w:rsidP="00E247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Flat glass recovery (windows, construction)</w:t>
      </w:r>
    </w:p>
    <w:p w14:paraId="686817CD" w14:textId="77777777" w:rsidR="00E24711" w:rsidRPr="00064C29" w:rsidRDefault="00E24711" w:rsidP="00E24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By Glass Type Composition</w:t>
      </w:r>
      <w:r w:rsidRPr="00064C29">
        <w:rPr>
          <w:rFonts w:ascii="Times New Roman" w:hAnsi="Times New Roman" w:cs="Times New Roman"/>
        </w:rPr>
        <w:t>:</w:t>
      </w:r>
    </w:p>
    <w:p w14:paraId="7C65F8D9" w14:textId="77777777" w:rsidR="00E24711" w:rsidRPr="00064C29" w:rsidRDefault="00E24711" w:rsidP="00E247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% Amber, % Flint, % Emerald, % Fines, % Window</w:t>
      </w:r>
    </w:p>
    <w:p w14:paraId="6F0893D1" w14:textId="77777777" w:rsidR="00E24711" w:rsidRPr="00064C29" w:rsidRDefault="00E24711" w:rsidP="00E24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Recycling Rates</w:t>
      </w:r>
      <w:r w:rsidRPr="00064C29">
        <w:rPr>
          <w:rFonts w:ascii="Times New Roman" w:hAnsi="Times New Roman" w:cs="Times New Roman"/>
        </w:rPr>
        <w:t xml:space="preserve"> (Current and forecast 2024–2030)</w:t>
      </w:r>
    </w:p>
    <w:p w14:paraId="371BA3D9" w14:textId="77777777" w:rsidR="00E24711" w:rsidRPr="00064C29" w:rsidRDefault="00E24711" w:rsidP="00E24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Landfill Tipping Fees</w:t>
      </w:r>
      <w:r w:rsidRPr="00064C29">
        <w:rPr>
          <w:rFonts w:ascii="Times New Roman" w:hAnsi="Times New Roman" w:cs="Times New Roman"/>
        </w:rPr>
        <w:t xml:space="preserve"> and Glass Disposal Trends</w:t>
      </w:r>
    </w:p>
    <w:p w14:paraId="3A699D77" w14:textId="77777777" w:rsidR="00E24711" w:rsidRPr="00064C29" w:rsidRDefault="00E24711" w:rsidP="00E24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Transportation/Inbound Logistics Costs</w:t>
      </w:r>
    </w:p>
    <w:p w14:paraId="00CAABB6" w14:textId="77777777" w:rsidR="00E24711" w:rsidRPr="00064C29" w:rsidRDefault="00E24711" w:rsidP="00E24711">
      <w:pPr>
        <w:pStyle w:val="Heading4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 xml:space="preserve">B. </w:t>
      </w:r>
      <w:r w:rsidRPr="00064C29">
        <w:rPr>
          <w:rStyle w:val="Strong"/>
          <w:rFonts w:ascii="Times New Roman" w:hAnsi="Times New Roman" w:cs="Times New Roman"/>
          <w:b w:val="0"/>
          <w:bCs w:val="0"/>
        </w:rPr>
        <w:t>Demand-Side (End Market)</w:t>
      </w:r>
    </w:p>
    <w:p w14:paraId="7A2A118C" w14:textId="77777777" w:rsidR="00E24711" w:rsidRPr="00064C29" w:rsidRDefault="00E24711" w:rsidP="00E24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Regional demand forecasts (tons/year) for:</w:t>
      </w:r>
    </w:p>
    <w:p w14:paraId="3AF01D0D" w14:textId="77777777" w:rsidR="00E24711" w:rsidRPr="00064C29" w:rsidRDefault="00E24711" w:rsidP="00E24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Amber container</w:t>
      </w:r>
    </w:p>
    <w:p w14:paraId="28973E09" w14:textId="77777777" w:rsidR="00E24711" w:rsidRPr="00064C29" w:rsidRDefault="00E24711" w:rsidP="00E24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lastRenderedPageBreak/>
        <w:t>Flint container</w:t>
      </w:r>
    </w:p>
    <w:p w14:paraId="4D33AF98" w14:textId="77777777" w:rsidR="00E24711" w:rsidRPr="00064C29" w:rsidRDefault="00E24711" w:rsidP="00E24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Mixed/fines</w:t>
      </w:r>
      <w:r w:rsidRPr="00064C29">
        <w:rPr>
          <w:rFonts w:ascii="Times New Roman" w:hAnsi="Times New Roman" w:cs="Times New Roman"/>
        </w:rPr>
        <w:t xml:space="preserve"> (e.g., for abrasives, foam glass, aggregate)</w:t>
      </w:r>
    </w:p>
    <w:p w14:paraId="52E42944" w14:textId="77777777" w:rsidR="00E24711" w:rsidRPr="00064C29" w:rsidRDefault="00E24711" w:rsidP="00E24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Window plate</w:t>
      </w:r>
      <w:r w:rsidRPr="00064C29">
        <w:rPr>
          <w:rFonts w:ascii="Times New Roman" w:hAnsi="Times New Roman" w:cs="Times New Roman"/>
        </w:rPr>
        <w:t xml:space="preserve"> (for float/flat glass, reuse)</w:t>
      </w:r>
    </w:p>
    <w:p w14:paraId="161007BF" w14:textId="77777777" w:rsidR="00E24711" w:rsidRPr="00064C29" w:rsidRDefault="00E24711" w:rsidP="00E24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Market prices ($/ton) by cullet type and region</w:t>
      </w:r>
    </w:p>
    <w:p w14:paraId="0005EF66" w14:textId="77777777" w:rsidR="00E24711" w:rsidRPr="00064C29" w:rsidRDefault="00E24711" w:rsidP="00E24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Key customers or industry clusters (e.g., container glass plants)</w:t>
      </w:r>
    </w:p>
    <w:p w14:paraId="7EBDDAB1" w14:textId="77777777" w:rsidR="00E24711" w:rsidRPr="00064C29" w:rsidRDefault="00E24711" w:rsidP="00E24711">
      <w:pPr>
        <w:pStyle w:val="Heading4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 xml:space="preserve">C. </w:t>
      </w:r>
      <w:r w:rsidRPr="00064C29">
        <w:rPr>
          <w:rStyle w:val="Strong"/>
          <w:rFonts w:ascii="Times New Roman" w:hAnsi="Times New Roman" w:cs="Times New Roman"/>
          <w:b w:val="0"/>
          <w:bCs w:val="0"/>
        </w:rPr>
        <w:t>Constraints &amp; Levers</w:t>
      </w:r>
    </w:p>
    <w:p w14:paraId="547BB2CF" w14:textId="77777777" w:rsidR="00E24711" w:rsidRPr="00064C29" w:rsidRDefault="00E24711" w:rsidP="00E24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Rail and trucking availability</w:t>
      </w:r>
    </w:p>
    <w:p w14:paraId="2887963A" w14:textId="77777777" w:rsidR="00E24711" w:rsidRPr="00064C29" w:rsidRDefault="00E24711" w:rsidP="00E24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State-level policy incentives or disincentives</w:t>
      </w:r>
    </w:p>
    <w:p w14:paraId="749AFF8A" w14:textId="77777777" w:rsidR="00E24711" w:rsidRPr="00064C29" w:rsidRDefault="00E24711" w:rsidP="00E24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Infrastructure readiness (access to energy, water, labor pool)</w:t>
      </w:r>
    </w:p>
    <w:p w14:paraId="794A547B" w14:textId="5B1898AA" w:rsidR="00E24711" w:rsidRPr="00064C29" w:rsidRDefault="00E24711" w:rsidP="00E24711">
      <w:pPr>
        <w:spacing w:after="0"/>
        <w:rPr>
          <w:rFonts w:ascii="Times New Roman" w:hAnsi="Times New Roman" w:cs="Times New Roman"/>
        </w:rPr>
      </w:pPr>
    </w:p>
    <w:p w14:paraId="3397DC8F" w14:textId="183A8380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Deliverable:</w:t>
      </w:r>
    </w:p>
    <w:p w14:paraId="63F526C0" w14:textId="6BFCFE13" w:rsidR="00E24711" w:rsidRPr="00064C29" w:rsidRDefault="00E24711" w:rsidP="00E2471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Regional Glass Flow Matrix</w:t>
      </w:r>
      <w:r w:rsidRPr="00064C29">
        <w:rPr>
          <w:rFonts w:ascii="Times New Roman" w:hAnsi="Times New Roman" w:cs="Times New Roman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23"/>
        <w:gridCol w:w="1134"/>
        <w:gridCol w:w="1370"/>
        <w:gridCol w:w="1474"/>
        <w:gridCol w:w="2044"/>
        <w:gridCol w:w="1011"/>
        <w:gridCol w:w="1294"/>
      </w:tblGrid>
      <w:tr w:rsidR="00E24711" w:rsidRPr="00064C29" w14:paraId="244A4462" w14:textId="77777777" w:rsidTr="00E24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C748F" w14:textId="77777777" w:rsidR="00E24711" w:rsidRPr="00064C29" w:rsidRDefault="00E24711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Region</w:t>
            </w:r>
          </w:p>
        </w:tc>
        <w:tc>
          <w:tcPr>
            <w:tcW w:w="0" w:type="auto"/>
            <w:hideMark/>
          </w:tcPr>
          <w:p w14:paraId="7A705F7F" w14:textId="77777777" w:rsidR="00E24711" w:rsidRPr="00064C29" w:rsidRDefault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Glass Type</w:t>
            </w:r>
          </w:p>
        </w:tc>
        <w:tc>
          <w:tcPr>
            <w:tcW w:w="0" w:type="auto"/>
            <w:hideMark/>
          </w:tcPr>
          <w:p w14:paraId="440C8B44" w14:textId="77777777" w:rsidR="00E24711" w:rsidRPr="00064C29" w:rsidRDefault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Supply (Tons)</w:t>
            </w:r>
          </w:p>
        </w:tc>
        <w:tc>
          <w:tcPr>
            <w:tcW w:w="0" w:type="auto"/>
            <w:hideMark/>
          </w:tcPr>
          <w:p w14:paraId="30477A8F" w14:textId="77777777" w:rsidR="00E24711" w:rsidRPr="00064C29" w:rsidRDefault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Demand (Tons)</w:t>
            </w:r>
          </w:p>
        </w:tc>
        <w:tc>
          <w:tcPr>
            <w:tcW w:w="0" w:type="auto"/>
            <w:hideMark/>
          </w:tcPr>
          <w:p w14:paraId="41358509" w14:textId="77777777" w:rsidR="00E24711" w:rsidRPr="00064C29" w:rsidRDefault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Gap (Surplus/Deficit)</w:t>
            </w:r>
          </w:p>
        </w:tc>
        <w:tc>
          <w:tcPr>
            <w:tcW w:w="0" w:type="auto"/>
            <w:hideMark/>
          </w:tcPr>
          <w:p w14:paraId="3D3D6FE1" w14:textId="77777777" w:rsidR="00E24711" w:rsidRPr="00064C29" w:rsidRDefault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Price/ton</w:t>
            </w:r>
          </w:p>
        </w:tc>
        <w:tc>
          <w:tcPr>
            <w:tcW w:w="0" w:type="auto"/>
            <w:hideMark/>
          </w:tcPr>
          <w:p w14:paraId="78F9DAC2" w14:textId="77777777" w:rsidR="00E24711" w:rsidRPr="00064C29" w:rsidRDefault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Priority Flag</w:t>
            </w:r>
          </w:p>
        </w:tc>
      </w:tr>
      <w:tr w:rsidR="00E24711" w:rsidRPr="00064C29" w14:paraId="46CCDB96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E1979" w14:textId="77777777" w:rsidR="00E24711" w:rsidRPr="00064C29" w:rsidRDefault="00E24711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</w:rPr>
              <w:t>West</w:t>
            </w:r>
          </w:p>
        </w:tc>
        <w:tc>
          <w:tcPr>
            <w:tcW w:w="0" w:type="auto"/>
            <w:hideMark/>
          </w:tcPr>
          <w:p w14:paraId="139427CD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Amber</w:t>
            </w:r>
          </w:p>
        </w:tc>
        <w:tc>
          <w:tcPr>
            <w:tcW w:w="0" w:type="auto"/>
            <w:hideMark/>
          </w:tcPr>
          <w:p w14:paraId="35C7AC14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60,000</w:t>
            </w:r>
          </w:p>
        </w:tc>
        <w:tc>
          <w:tcPr>
            <w:tcW w:w="0" w:type="auto"/>
            <w:hideMark/>
          </w:tcPr>
          <w:p w14:paraId="4821557B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100,000</w:t>
            </w:r>
          </w:p>
        </w:tc>
        <w:tc>
          <w:tcPr>
            <w:tcW w:w="0" w:type="auto"/>
            <w:hideMark/>
          </w:tcPr>
          <w:p w14:paraId="41D91DD6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-40,000</w:t>
            </w:r>
          </w:p>
        </w:tc>
        <w:tc>
          <w:tcPr>
            <w:tcW w:w="0" w:type="auto"/>
            <w:hideMark/>
          </w:tcPr>
          <w:p w14:paraId="415A5F87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$70</w:t>
            </w:r>
          </w:p>
        </w:tc>
        <w:tc>
          <w:tcPr>
            <w:tcW w:w="0" w:type="auto"/>
            <w:hideMark/>
          </w:tcPr>
          <w:p w14:paraId="430F8E24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HIGH</w:t>
            </w:r>
          </w:p>
        </w:tc>
      </w:tr>
      <w:tr w:rsidR="00E24711" w:rsidRPr="00064C29" w14:paraId="4222AF98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0E189" w14:textId="77777777" w:rsidR="00E24711" w:rsidRPr="00064C29" w:rsidRDefault="00E24711">
            <w:pPr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Midwest</w:t>
            </w:r>
          </w:p>
        </w:tc>
        <w:tc>
          <w:tcPr>
            <w:tcW w:w="0" w:type="auto"/>
            <w:hideMark/>
          </w:tcPr>
          <w:p w14:paraId="6EA908A7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Flint</w:t>
            </w:r>
          </w:p>
        </w:tc>
        <w:tc>
          <w:tcPr>
            <w:tcW w:w="0" w:type="auto"/>
            <w:hideMark/>
          </w:tcPr>
          <w:p w14:paraId="65BDDE3C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150,000</w:t>
            </w:r>
          </w:p>
        </w:tc>
        <w:tc>
          <w:tcPr>
            <w:tcW w:w="0" w:type="auto"/>
            <w:hideMark/>
          </w:tcPr>
          <w:p w14:paraId="40038F78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120,000</w:t>
            </w:r>
          </w:p>
        </w:tc>
        <w:tc>
          <w:tcPr>
            <w:tcW w:w="0" w:type="auto"/>
            <w:hideMark/>
          </w:tcPr>
          <w:p w14:paraId="63A3C91B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+30,000</w:t>
            </w:r>
          </w:p>
        </w:tc>
        <w:tc>
          <w:tcPr>
            <w:tcW w:w="0" w:type="auto"/>
            <w:hideMark/>
          </w:tcPr>
          <w:p w14:paraId="1D66FAD6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$65</w:t>
            </w:r>
          </w:p>
        </w:tc>
        <w:tc>
          <w:tcPr>
            <w:tcW w:w="0" w:type="auto"/>
            <w:hideMark/>
          </w:tcPr>
          <w:p w14:paraId="12B1980C" w14:textId="77777777" w:rsidR="00E24711" w:rsidRPr="00064C29" w:rsidRDefault="00E24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47B72CA4" w14:textId="59A58E85" w:rsidR="00E24711" w:rsidRPr="00064C29" w:rsidRDefault="00E24711" w:rsidP="00E24711">
      <w:pPr>
        <w:rPr>
          <w:rFonts w:ascii="Times New Roman" w:hAnsi="Times New Roman" w:cs="Times New Roman"/>
        </w:rPr>
      </w:pPr>
    </w:p>
    <w:p w14:paraId="593861EC" w14:textId="0DE3E528" w:rsidR="00E24711" w:rsidRPr="00064C29" w:rsidRDefault="00E24711" w:rsidP="00E24711">
      <w:pPr>
        <w:pStyle w:val="Heading2"/>
      </w:pPr>
      <w:r w:rsidRPr="00064C29">
        <w:rPr>
          <w:rStyle w:val="Strong"/>
          <w:rFonts w:eastAsiaTheme="majorEastAsia"/>
          <w:b/>
          <w:bCs/>
        </w:rPr>
        <w:t>Module 2: Project Scenario Builder</w:t>
      </w:r>
      <w:r w:rsidRPr="00064C29">
        <w:rPr>
          <w:rStyle w:val="Strong"/>
          <w:rFonts w:eastAsiaTheme="majorEastAsia"/>
          <w:b/>
          <w:bCs/>
        </w:rPr>
        <w:t xml:space="preserve"> (LRP 1.4 and above)</w:t>
      </w:r>
    </w:p>
    <w:p w14:paraId="63118C79" w14:textId="3C126094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Objective:</w:t>
      </w:r>
    </w:p>
    <w:p w14:paraId="44048E6A" w14:textId="308CC98A" w:rsidR="00E24711" w:rsidRPr="00064C29" w:rsidRDefault="00E24711" w:rsidP="00E57373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Enable scenario-based modeling of future projects across the network—capturing their location, type, cost, ramp-up, and performance—to guide capacity deployment strategy.</w:t>
      </w:r>
    </w:p>
    <w:p w14:paraId="7DD84B26" w14:textId="379B82E1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Current State:</w:t>
      </w:r>
    </w:p>
    <w:p w14:paraId="6DC7FE6B" w14:textId="77777777" w:rsidR="00E24711" w:rsidRPr="00064C29" w:rsidRDefault="00E24711" w:rsidP="00E24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Strengths</w:t>
      </w:r>
      <w:r w:rsidRPr="00064C29">
        <w:rPr>
          <w:rFonts w:ascii="Times New Roman" w:hAnsi="Times New Roman" w:cs="Times New Roman"/>
        </w:rPr>
        <w:t>:</w:t>
      </w:r>
    </w:p>
    <w:p w14:paraId="2C783467" w14:textId="77777777" w:rsidR="00E24711" w:rsidRPr="00064C29" w:rsidRDefault="00E24711" w:rsidP="00E247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 xml:space="preserve">Captures high-level project metadata: region, plant type, schedule, EAC (Estimated </w:t>
      </w:r>
      <w:proofErr w:type="gramStart"/>
      <w:r w:rsidRPr="00064C29">
        <w:rPr>
          <w:rFonts w:ascii="Times New Roman" w:hAnsi="Times New Roman" w:cs="Times New Roman"/>
        </w:rPr>
        <w:t>At</w:t>
      </w:r>
      <w:proofErr w:type="gramEnd"/>
      <w:r w:rsidRPr="00064C29">
        <w:rPr>
          <w:rFonts w:ascii="Times New Roman" w:hAnsi="Times New Roman" w:cs="Times New Roman"/>
        </w:rPr>
        <w:t xml:space="preserve"> Completion), and capacity</w:t>
      </w:r>
    </w:p>
    <w:p w14:paraId="1A7F0BB1" w14:textId="77777777" w:rsidR="00E24711" w:rsidRPr="00064C29" w:rsidRDefault="00E24711" w:rsidP="00E247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Forecasts capex allocation monthly/yearly per project</w:t>
      </w:r>
    </w:p>
    <w:p w14:paraId="16F04897" w14:textId="77777777" w:rsidR="00E24711" w:rsidRPr="00064C29" w:rsidRDefault="00E24711" w:rsidP="00E247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064C29">
        <w:rPr>
          <w:rFonts w:ascii="Times New Roman" w:hAnsi="Times New Roman" w:cs="Times New Roman"/>
        </w:rPr>
        <w:t>Models</w:t>
      </w:r>
      <w:proofErr w:type="gramEnd"/>
      <w:r w:rsidRPr="00064C29">
        <w:rPr>
          <w:rFonts w:ascii="Times New Roman" w:hAnsi="Times New Roman" w:cs="Times New Roman"/>
        </w:rPr>
        <w:t xml:space="preserve"> capacity ramp-up over time</w:t>
      </w:r>
    </w:p>
    <w:p w14:paraId="1B1D80AE" w14:textId="77777777" w:rsidR="00E24711" w:rsidRPr="00064C29" w:rsidRDefault="00E24711" w:rsidP="00E24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Weaknesses / Gaps</w:t>
      </w:r>
      <w:r w:rsidRPr="00064C29">
        <w:rPr>
          <w:rFonts w:ascii="Times New Roman" w:hAnsi="Times New Roman" w:cs="Times New Roman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46"/>
        <w:gridCol w:w="2167"/>
        <w:gridCol w:w="4837"/>
      </w:tblGrid>
      <w:tr w:rsidR="00E24711" w:rsidRPr="00064C29" w14:paraId="4DFDCE7E" w14:textId="77777777" w:rsidTr="00E24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E530D" w14:textId="77777777" w:rsidR="00E24711" w:rsidRPr="00064C29" w:rsidRDefault="00E24711" w:rsidP="00E24711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Gap Area</w:t>
            </w:r>
          </w:p>
        </w:tc>
        <w:tc>
          <w:tcPr>
            <w:tcW w:w="0" w:type="auto"/>
            <w:hideMark/>
          </w:tcPr>
          <w:p w14:paraId="4D24EA45" w14:textId="77777777" w:rsidR="00E24711" w:rsidRPr="00064C29" w:rsidRDefault="00E24711" w:rsidP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Current Limitation</w:t>
            </w:r>
          </w:p>
        </w:tc>
        <w:tc>
          <w:tcPr>
            <w:tcW w:w="0" w:type="auto"/>
            <w:hideMark/>
          </w:tcPr>
          <w:p w14:paraId="1C3C3D06" w14:textId="77777777" w:rsidR="00E24711" w:rsidRPr="00064C29" w:rsidRDefault="00E24711" w:rsidP="00E24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Future Requirement</w:t>
            </w:r>
          </w:p>
        </w:tc>
      </w:tr>
      <w:tr w:rsidR="00E24711" w:rsidRPr="00064C29" w14:paraId="6616BE4E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7A446" w14:textId="77777777" w:rsidR="00E24711" w:rsidRPr="00064C29" w:rsidRDefault="00E24711" w:rsidP="00E2471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</w:rPr>
              <w:t>Cullet Type Logic</w:t>
            </w:r>
          </w:p>
        </w:tc>
        <w:tc>
          <w:tcPr>
            <w:tcW w:w="0" w:type="auto"/>
            <w:hideMark/>
          </w:tcPr>
          <w:p w14:paraId="7D95C580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Not specified per project</w:t>
            </w:r>
          </w:p>
        </w:tc>
        <w:tc>
          <w:tcPr>
            <w:tcW w:w="0" w:type="auto"/>
            <w:hideMark/>
          </w:tcPr>
          <w:p w14:paraId="75C6C8EA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Each project must define % focus on Amber / Flint / Fines / Window</w:t>
            </w:r>
          </w:p>
        </w:tc>
      </w:tr>
      <w:tr w:rsidR="00E24711" w:rsidRPr="00064C29" w14:paraId="352BC314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F9593" w14:textId="77777777" w:rsidR="00E24711" w:rsidRPr="00064C29" w:rsidRDefault="00E24711" w:rsidP="00E24711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Revenue Logic</w:t>
            </w:r>
          </w:p>
        </w:tc>
        <w:tc>
          <w:tcPr>
            <w:tcW w:w="0" w:type="auto"/>
            <w:hideMark/>
          </w:tcPr>
          <w:p w14:paraId="4C69D6B5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Missing</w:t>
            </w:r>
          </w:p>
        </w:tc>
        <w:tc>
          <w:tcPr>
            <w:tcW w:w="0" w:type="auto"/>
            <w:hideMark/>
          </w:tcPr>
          <w:p w14:paraId="135EC156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Add sale price/ton × yield × throughput by glass type</w:t>
            </w:r>
          </w:p>
        </w:tc>
      </w:tr>
      <w:tr w:rsidR="00E24711" w:rsidRPr="00064C29" w14:paraId="0023464E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7B100" w14:textId="77777777" w:rsidR="00E24711" w:rsidRPr="00064C29" w:rsidRDefault="00E24711" w:rsidP="00E24711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064C29">
              <w:rPr>
                <w:rFonts w:ascii="Times New Roman" w:hAnsi="Times New Roman" w:cs="Times New Roman"/>
                <w:highlight w:val="yellow"/>
              </w:rPr>
              <w:t>Opex</w:t>
            </w:r>
            <w:proofErr w:type="spellEnd"/>
            <w:r w:rsidRPr="00064C29">
              <w:rPr>
                <w:rFonts w:ascii="Times New Roman" w:hAnsi="Times New Roman" w:cs="Times New Roman"/>
                <w:highlight w:val="yellow"/>
              </w:rPr>
              <w:t xml:space="preserve"> Logic</w:t>
            </w:r>
          </w:p>
        </w:tc>
        <w:tc>
          <w:tcPr>
            <w:tcW w:w="0" w:type="auto"/>
            <w:hideMark/>
          </w:tcPr>
          <w:p w14:paraId="557E4BED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highlight w:val="yellow"/>
              </w:rPr>
            </w:pPr>
            <w:r w:rsidRPr="00064C29">
              <w:rPr>
                <w:rFonts w:ascii="Times New Roman" w:hAnsi="Times New Roman" w:cs="Times New Roman"/>
                <w:highlight w:val="yellow"/>
              </w:rPr>
              <w:t>Missing</w:t>
            </w:r>
          </w:p>
        </w:tc>
        <w:tc>
          <w:tcPr>
            <w:tcW w:w="0" w:type="auto"/>
            <w:hideMark/>
          </w:tcPr>
          <w:p w14:paraId="6933B7E9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highlight w:val="yellow"/>
              </w:rPr>
            </w:pPr>
            <w:r w:rsidRPr="00064C29">
              <w:rPr>
                <w:rFonts w:ascii="Times New Roman" w:hAnsi="Times New Roman" w:cs="Times New Roman"/>
                <w:highlight w:val="yellow"/>
              </w:rPr>
              <w:t>Add variable cost by plant type and region (labor, logistics, energy)</w:t>
            </w:r>
          </w:p>
        </w:tc>
      </w:tr>
      <w:tr w:rsidR="00E24711" w:rsidRPr="00064C29" w14:paraId="167A7CC2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CDDF3" w14:textId="77777777" w:rsidR="00E24711" w:rsidRPr="00064C29" w:rsidRDefault="00E24711" w:rsidP="00E24711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lastRenderedPageBreak/>
              <w:t>Regional Integration</w:t>
            </w:r>
          </w:p>
        </w:tc>
        <w:tc>
          <w:tcPr>
            <w:tcW w:w="0" w:type="auto"/>
            <w:hideMark/>
          </w:tcPr>
          <w:p w14:paraId="73EB9548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Implicit region logic only</w:t>
            </w:r>
          </w:p>
        </w:tc>
        <w:tc>
          <w:tcPr>
            <w:tcW w:w="0" w:type="auto"/>
            <w:hideMark/>
          </w:tcPr>
          <w:p w14:paraId="2FCAE9DC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Explicit linkage to Module 1 demand/supply model</w:t>
            </w:r>
          </w:p>
        </w:tc>
      </w:tr>
      <w:tr w:rsidR="00E24711" w:rsidRPr="00064C29" w14:paraId="543DE649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0DE2A" w14:textId="77777777" w:rsidR="00E24711" w:rsidRPr="00064C29" w:rsidRDefault="00E24711" w:rsidP="00E24711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ROI Metrics</w:t>
            </w:r>
          </w:p>
        </w:tc>
        <w:tc>
          <w:tcPr>
            <w:tcW w:w="0" w:type="auto"/>
            <w:hideMark/>
          </w:tcPr>
          <w:p w14:paraId="4627DA3B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No ROCE or DCF logic</w:t>
            </w:r>
          </w:p>
        </w:tc>
        <w:tc>
          <w:tcPr>
            <w:tcW w:w="0" w:type="auto"/>
            <w:hideMark/>
          </w:tcPr>
          <w:p w14:paraId="01EBF5B6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Build in ROCE, IRR, and Payback for each project</w:t>
            </w:r>
          </w:p>
        </w:tc>
      </w:tr>
      <w:tr w:rsidR="00E24711" w:rsidRPr="00064C29" w14:paraId="6FEE0C3A" w14:textId="77777777" w:rsidTr="00E24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86DF0" w14:textId="77777777" w:rsidR="00E24711" w:rsidRPr="00064C29" w:rsidRDefault="00E24711" w:rsidP="00E24711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Labor / Construction Type</w:t>
            </w:r>
          </w:p>
        </w:tc>
        <w:tc>
          <w:tcPr>
            <w:tcW w:w="0" w:type="auto"/>
            <w:hideMark/>
          </w:tcPr>
          <w:p w14:paraId="6F5E84D9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Fields available but unused</w:t>
            </w:r>
          </w:p>
        </w:tc>
        <w:tc>
          <w:tcPr>
            <w:tcW w:w="0" w:type="auto"/>
            <w:hideMark/>
          </w:tcPr>
          <w:p w14:paraId="181B71EB" w14:textId="77777777" w:rsidR="00E24711" w:rsidRPr="00064C29" w:rsidRDefault="00E24711" w:rsidP="00E24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Integrate into cost and risk logic</w:t>
            </w:r>
          </w:p>
        </w:tc>
      </w:tr>
    </w:tbl>
    <w:p w14:paraId="1A57EE54" w14:textId="44FE5DF5" w:rsidR="00E24711" w:rsidRPr="00064C29" w:rsidRDefault="00E24711" w:rsidP="00E24711">
      <w:pPr>
        <w:rPr>
          <w:rFonts w:ascii="Times New Roman" w:hAnsi="Times New Roman" w:cs="Times New Roman"/>
        </w:rPr>
      </w:pPr>
    </w:p>
    <w:p w14:paraId="3A5EDDAA" w14:textId="4F5A5573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Future Functionality: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83"/>
        <w:gridCol w:w="4884"/>
      </w:tblGrid>
      <w:tr w:rsidR="00E24711" w:rsidRPr="00064C29" w14:paraId="406B7BDB" w14:textId="77777777" w:rsidTr="00E57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A91BB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Input Feature</w:t>
            </w:r>
          </w:p>
        </w:tc>
        <w:tc>
          <w:tcPr>
            <w:tcW w:w="0" w:type="auto"/>
            <w:hideMark/>
          </w:tcPr>
          <w:p w14:paraId="67659E01" w14:textId="77777777" w:rsidR="00E24711" w:rsidRPr="00064C29" w:rsidRDefault="00E24711" w:rsidP="00E5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Description</w:t>
            </w:r>
          </w:p>
        </w:tc>
      </w:tr>
      <w:tr w:rsidR="00E24711" w:rsidRPr="00064C29" w14:paraId="6621655D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B652F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</w:rPr>
              <w:t>Plant Profile</w:t>
            </w:r>
          </w:p>
        </w:tc>
        <w:tc>
          <w:tcPr>
            <w:tcW w:w="0" w:type="auto"/>
            <w:hideMark/>
          </w:tcPr>
          <w:p w14:paraId="76E5BA1A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Mega / Mid / Pre-process / Clean-only</w:t>
            </w:r>
          </w:p>
        </w:tc>
      </w:tr>
      <w:tr w:rsidR="00E24711" w:rsidRPr="00064C29" w14:paraId="29AA3A42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A8C9C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Construction Type</w:t>
            </w:r>
          </w:p>
        </w:tc>
        <w:tc>
          <w:tcPr>
            <w:tcW w:w="0" w:type="auto"/>
            <w:hideMark/>
          </w:tcPr>
          <w:p w14:paraId="2330FEC3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Greenfield / Brownfield</w:t>
            </w:r>
          </w:p>
        </w:tc>
      </w:tr>
      <w:tr w:rsidR="00E24711" w:rsidRPr="00064C29" w14:paraId="402BB4AE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9D165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Labor Type</w:t>
            </w:r>
          </w:p>
        </w:tc>
        <w:tc>
          <w:tcPr>
            <w:tcW w:w="0" w:type="auto"/>
            <w:hideMark/>
          </w:tcPr>
          <w:p w14:paraId="7C32B3E1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Union / Non-union (affects labor cost)</w:t>
            </w:r>
          </w:p>
        </w:tc>
      </w:tr>
      <w:tr w:rsidR="00E24711" w:rsidRPr="00064C29" w14:paraId="59B7B8DA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F3E04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Cullet Type Mix</w:t>
            </w:r>
          </w:p>
        </w:tc>
        <w:tc>
          <w:tcPr>
            <w:tcW w:w="0" w:type="auto"/>
            <w:hideMark/>
          </w:tcPr>
          <w:p w14:paraId="2EBB123F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% Amber, Flint, etc. (linked to revenue assumptions)</w:t>
            </w:r>
          </w:p>
        </w:tc>
      </w:tr>
      <w:tr w:rsidR="00E24711" w:rsidRPr="00064C29" w14:paraId="775F27E0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B6559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4C29">
              <w:rPr>
                <w:rFonts w:ascii="Times New Roman" w:hAnsi="Times New Roman" w:cs="Times New Roman"/>
              </w:rPr>
              <w:t>CapEx</w:t>
            </w:r>
            <w:proofErr w:type="spellEnd"/>
            <w:r w:rsidRPr="00064C29">
              <w:rPr>
                <w:rFonts w:ascii="Times New Roman" w:hAnsi="Times New Roman" w:cs="Times New Roman"/>
              </w:rPr>
              <w:t xml:space="preserve"> (EAC)</w:t>
            </w:r>
          </w:p>
        </w:tc>
        <w:tc>
          <w:tcPr>
            <w:tcW w:w="0" w:type="auto"/>
            <w:hideMark/>
          </w:tcPr>
          <w:p w14:paraId="19AC0597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By plant and broken into time-staged cost</w:t>
            </w:r>
          </w:p>
        </w:tc>
      </w:tr>
      <w:tr w:rsidR="00E24711" w:rsidRPr="00064C29" w14:paraId="31650528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9BB28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Capacity Ramp</w:t>
            </w:r>
          </w:p>
        </w:tc>
        <w:tc>
          <w:tcPr>
            <w:tcW w:w="0" w:type="auto"/>
            <w:hideMark/>
          </w:tcPr>
          <w:p w14:paraId="76DDADE4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Modeled over 3+ years, per cullet stream</w:t>
            </w:r>
          </w:p>
        </w:tc>
      </w:tr>
      <w:tr w:rsidR="00E24711" w:rsidRPr="00064C29" w14:paraId="78EA1693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396CB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Revenue Model</w:t>
            </w:r>
          </w:p>
        </w:tc>
        <w:tc>
          <w:tcPr>
            <w:tcW w:w="0" w:type="auto"/>
            <w:hideMark/>
          </w:tcPr>
          <w:p w14:paraId="523C9341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Tons × Yield × Price by cullet type</w:t>
            </w:r>
          </w:p>
        </w:tc>
      </w:tr>
      <w:tr w:rsidR="00E24711" w:rsidRPr="00064C29" w14:paraId="5122B528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1102B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4C29">
              <w:rPr>
                <w:rFonts w:ascii="Times New Roman" w:hAnsi="Times New Roman" w:cs="Times New Roman"/>
              </w:rPr>
              <w:t>Opex</w:t>
            </w:r>
            <w:proofErr w:type="spellEnd"/>
            <w:r w:rsidRPr="00064C29">
              <w:rPr>
                <w:rFonts w:ascii="Times New Roman" w:hAnsi="Times New Roman" w:cs="Times New Roman"/>
              </w:rPr>
              <w:t xml:space="preserve"> Model</w:t>
            </w:r>
          </w:p>
        </w:tc>
        <w:tc>
          <w:tcPr>
            <w:tcW w:w="0" w:type="auto"/>
            <w:hideMark/>
          </w:tcPr>
          <w:p w14:paraId="57862ABF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Per ton, region-adjusted costs</w:t>
            </w:r>
          </w:p>
        </w:tc>
      </w:tr>
    </w:tbl>
    <w:p w14:paraId="3B8C9C38" w14:textId="48D8ECB9" w:rsidR="00E24711" w:rsidRPr="00064C29" w:rsidRDefault="00E24711" w:rsidP="00E24711">
      <w:pPr>
        <w:rPr>
          <w:rFonts w:ascii="Times New Roman" w:hAnsi="Times New Roman" w:cs="Times New Roman"/>
        </w:rPr>
      </w:pPr>
    </w:p>
    <w:p w14:paraId="1C51DE46" w14:textId="5836A20A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Deliverables:</w:t>
      </w:r>
    </w:p>
    <w:p w14:paraId="0BC8D350" w14:textId="77777777" w:rsidR="00E24711" w:rsidRPr="00064C29" w:rsidRDefault="00E24711" w:rsidP="00E24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Multi-Project Scenario Sheet</w:t>
      </w:r>
      <w:r w:rsidRPr="00064C29">
        <w:rPr>
          <w:rFonts w:ascii="Times New Roman" w:hAnsi="Times New Roman" w:cs="Times New Roman"/>
        </w:rPr>
        <w:t xml:space="preserve"> (Inputs)</w:t>
      </w:r>
    </w:p>
    <w:p w14:paraId="325F5A29" w14:textId="77777777" w:rsidR="00E24711" w:rsidRPr="00064C29" w:rsidRDefault="00E24711" w:rsidP="00E24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Capex &amp; Capacity Timeline</w:t>
      </w:r>
      <w:r w:rsidRPr="00064C29">
        <w:rPr>
          <w:rFonts w:ascii="Times New Roman" w:hAnsi="Times New Roman" w:cs="Times New Roman"/>
        </w:rPr>
        <w:t xml:space="preserve"> (Gantt-style view)</w:t>
      </w:r>
    </w:p>
    <w:p w14:paraId="0F12B648" w14:textId="77777777" w:rsidR="00E24711" w:rsidRPr="00064C29" w:rsidRDefault="00E24711" w:rsidP="00E24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 xml:space="preserve">Revenue / </w:t>
      </w:r>
      <w:proofErr w:type="spellStart"/>
      <w:r w:rsidRPr="00064C29">
        <w:rPr>
          <w:rStyle w:val="Strong"/>
          <w:rFonts w:ascii="Times New Roman" w:hAnsi="Times New Roman" w:cs="Times New Roman"/>
        </w:rPr>
        <w:t>Opex</w:t>
      </w:r>
      <w:proofErr w:type="spellEnd"/>
      <w:r w:rsidRPr="00064C29">
        <w:rPr>
          <w:rStyle w:val="Strong"/>
          <w:rFonts w:ascii="Times New Roman" w:hAnsi="Times New Roman" w:cs="Times New Roman"/>
        </w:rPr>
        <w:t xml:space="preserve"> / EBITDA Projection per Project</w:t>
      </w:r>
    </w:p>
    <w:p w14:paraId="5BE7A466" w14:textId="77777777" w:rsidR="00E24711" w:rsidRPr="00064C29" w:rsidRDefault="00E24711" w:rsidP="00E24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IRR, Payback, ROCE Summary Dashboard</w:t>
      </w:r>
    </w:p>
    <w:p w14:paraId="609AB864" w14:textId="2DB30BD0" w:rsidR="00E24711" w:rsidRPr="00064C29" w:rsidRDefault="00E24711" w:rsidP="00E24711">
      <w:pPr>
        <w:spacing w:after="0"/>
        <w:rPr>
          <w:rFonts w:ascii="Times New Roman" w:hAnsi="Times New Roman" w:cs="Times New Roman"/>
        </w:rPr>
      </w:pPr>
    </w:p>
    <w:p w14:paraId="2AA0BE47" w14:textId="0A20F711" w:rsidR="00E24711" w:rsidRPr="00064C29" w:rsidRDefault="00E24711" w:rsidP="00E24711">
      <w:pPr>
        <w:pStyle w:val="Heading2"/>
      </w:pPr>
      <w:r w:rsidRPr="00064C29">
        <w:rPr>
          <w:rStyle w:val="Strong"/>
          <w:rFonts w:eastAsiaTheme="majorEastAsia"/>
          <w:b/>
          <w:bCs/>
        </w:rPr>
        <w:t>Module 3: Portfolio Strategy Engine</w:t>
      </w:r>
    </w:p>
    <w:p w14:paraId="73B07D7C" w14:textId="744815EC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Objective:</w:t>
      </w:r>
    </w:p>
    <w:p w14:paraId="09EA960A" w14:textId="3255A6A2" w:rsidR="00E24711" w:rsidRPr="00064C29" w:rsidRDefault="00E24711" w:rsidP="00E57373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 xml:space="preserve">Provide executives with a </w:t>
      </w:r>
      <w:r w:rsidRPr="00064C29">
        <w:rPr>
          <w:rStyle w:val="Strong"/>
          <w:rFonts w:ascii="Times New Roman" w:hAnsi="Times New Roman" w:cs="Times New Roman"/>
        </w:rPr>
        <w:t>decision-ready dashboard</w:t>
      </w:r>
      <w:r w:rsidRPr="00064C29">
        <w:rPr>
          <w:rFonts w:ascii="Times New Roman" w:hAnsi="Times New Roman" w:cs="Times New Roman"/>
        </w:rPr>
        <w:t xml:space="preserve"> that aggregates projects, regions, and glass streams into a clear investment roadmap—guided by return, gap closure, and demand alignment.</w:t>
      </w:r>
    </w:p>
    <w:p w14:paraId="078AAD24" w14:textId="573FDF3A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Assumptions (Pulled from Modules 1 &amp; 2):</w:t>
      </w:r>
    </w:p>
    <w:p w14:paraId="6E20F7B2" w14:textId="77777777" w:rsidR="00E24711" w:rsidRPr="00064C29" w:rsidRDefault="00E24711" w:rsidP="00E24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Regional supply/demand gaps by glass type (Module 1)</w:t>
      </w:r>
    </w:p>
    <w:p w14:paraId="01CB5BA8" w14:textId="77777777" w:rsidR="00E24711" w:rsidRPr="00064C29" w:rsidRDefault="00E24711" w:rsidP="00E24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Project capacity and cost forecasts (Module 2)</w:t>
      </w:r>
    </w:p>
    <w:p w14:paraId="7187F666" w14:textId="77777777" w:rsidR="00E24711" w:rsidRPr="00064C29" w:rsidRDefault="00E24711" w:rsidP="00E24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Revenue &amp; EBITDA projections by cullet type (Module 2)</w:t>
      </w:r>
    </w:p>
    <w:p w14:paraId="08049402" w14:textId="77777777" w:rsidR="00E24711" w:rsidRPr="00064C29" w:rsidRDefault="00E24711" w:rsidP="00E24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Standard WACC and IRR thresholds (e.g., 10% hurdle rate)</w:t>
      </w:r>
    </w:p>
    <w:p w14:paraId="32AEB8F7" w14:textId="77777777" w:rsidR="00E24711" w:rsidRPr="00064C29" w:rsidRDefault="00E24711" w:rsidP="00E24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Scenario toggles: cost inflation, cullet pricing, logistics shifts</w:t>
      </w:r>
    </w:p>
    <w:p w14:paraId="73FAA3F5" w14:textId="77777777" w:rsidR="00E24711" w:rsidRPr="00064C29" w:rsidRDefault="00E24711" w:rsidP="00E24711">
      <w:pPr>
        <w:spacing w:after="0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pict w14:anchorId="4FC73158">
          <v:rect id="_x0000_i1093" style="width:0;height:1.5pt" o:hralign="center" o:hrstd="t" o:hr="t" fillcolor="#a0a0a0" stroked="f"/>
        </w:pict>
      </w:r>
    </w:p>
    <w:p w14:paraId="7170F21A" w14:textId="10A5225A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Executive Dashboard Deliverables:</w:t>
      </w:r>
    </w:p>
    <w:p w14:paraId="1504B247" w14:textId="77777777" w:rsidR="00E24711" w:rsidRPr="00064C29" w:rsidRDefault="00E24711" w:rsidP="00E247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Regional Heat Map</w:t>
      </w:r>
    </w:p>
    <w:p w14:paraId="703817BF" w14:textId="77777777" w:rsidR="00E24711" w:rsidRPr="00064C29" w:rsidRDefault="00E24711" w:rsidP="00E247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lastRenderedPageBreak/>
        <w:t>Shows surplus/deficit by glass type and project investment</w:t>
      </w:r>
    </w:p>
    <w:p w14:paraId="32F3DEF1" w14:textId="77777777" w:rsidR="00E24711" w:rsidRPr="00064C29" w:rsidRDefault="00E24711" w:rsidP="00E247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Color-coded investment priority (e.g., red = high unmet amber demand)</w:t>
      </w:r>
    </w:p>
    <w:p w14:paraId="50BC9466" w14:textId="77777777" w:rsidR="00E24711" w:rsidRPr="00064C29" w:rsidRDefault="00E24711" w:rsidP="00E247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Project Network View</w:t>
      </w:r>
    </w:p>
    <w:p w14:paraId="6D95E684" w14:textId="77777777" w:rsidR="00E24711" w:rsidRPr="00064C29" w:rsidRDefault="00E24711" w:rsidP="00E247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Overlay of project locations with their cullet output</w:t>
      </w:r>
    </w:p>
    <w:p w14:paraId="2AB95183" w14:textId="77777777" w:rsidR="00E24711" w:rsidRPr="00064C29" w:rsidRDefault="00E24711" w:rsidP="00E247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Toggle filters: construction year, plant type, throughput</w:t>
      </w:r>
    </w:p>
    <w:p w14:paraId="2278D64C" w14:textId="77777777" w:rsidR="00E24711" w:rsidRPr="00064C29" w:rsidRDefault="00E24711" w:rsidP="00E247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Scenario Modeler</w:t>
      </w:r>
    </w:p>
    <w:p w14:paraId="10C1F4EF" w14:textId="77777777" w:rsidR="00E24711" w:rsidRPr="00064C29" w:rsidRDefault="00E24711" w:rsidP="00E247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Executives adjust variables (e.g., price/ton, labor rate, capex inflation)</w:t>
      </w:r>
    </w:p>
    <w:p w14:paraId="7BDE27B2" w14:textId="77777777" w:rsidR="00E24711" w:rsidRPr="00064C29" w:rsidRDefault="00E24711" w:rsidP="00E247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Auto-updates NPV, IRR, payback, regional coverage</w:t>
      </w:r>
    </w:p>
    <w:p w14:paraId="14A5E4AF" w14:textId="77777777" w:rsidR="00E24711" w:rsidRPr="00064C29" w:rsidRDefault="00E24711" w:rsidP="00E247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Style w:val="Strong"/>
          <w:rFonts w:ascii="Times New Roman" w:hAnsi="Times New Roman" w:cs="Times New Roman"/>
        </w:rPr>
        <w:t>Strategic Guidance Output</w:t>
      </w:r>
    </w:p>
    <w:p w14:paraId="3B42BB5B" w14:textId="77777777" w:rsidR="00E24711" w:rsidRPr="00064C29" w:rsidRDefault="00E24711" w:rsidP="00E247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Decision-ready insights like:</w:t>
      </w:r>
    </w:p>
    <w:p w14:paraId="0A1A6B3A" w14:textId="77777777" w:rsidR="00E24711" w:rsidRPr="00064C29" w:rsidRDefault="00E24711" w:rsidP="00E2471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“We should prioritize amber glass processing in the West by 2027”</w:t>
      </w:r>
    </w:p>
    <w:p w14:paraId="32904964" w14:textId="77777777" w:rsidR="00E24711" w:rsidRPr="00064C29" w:rsidRDefault="00E24711" w:rsidP="00E2471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“Avoid overbuilding fines processing in Southeast—demand saturated”</w:t>
      </w:r>
    </w:p>
    <w:p w14:paraId="45E03544" w14:textId="25ED2D9F" w:rsidR="00E24711" w:rsidRPr="00064C29" w:rsidRDefault="00E24711" w:rsidP="00E5737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“Mega plant in Midwest unlocks surplus flint to meet growing demand in NE”</w:t>
      </w:r>
    </w:p>
    <w:p w14:paraId="45685D26" w14:textId="6AAC241C" w:rsidR="00E24711" w:rsidRPr="00064C29" w:rsidRDefault="00E24711" w:rsidP="00E24711">
      <w:pPr>
        <w:pStyle w:val="Heading3"/>
        <w:rPr>
          <w:rFonts w:ascii="Times New Roman" w:hAnsi="Times New Roman" w:cs="Times New Roman"/>
        </w:rPr>
      </w:pPr>
      <w:r w:rsidRPr="00064C29">
        <w:rPr>
          <w:rFonts w:ascii="Times New Roman" w:hAnsi="Times New Roman" w:cs="Times New Roman"/>
        </w:rPr>
        <w:t>How Executives Use This Tool: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51"/>
        <w:gridCol w:w="1931"/>
        <w:gridCol w:w="4568"/>
      </w:tblGrid>
      <w:tr w:rsidR="00E24711" w:rsidRPr="00064C29" w14:paraId="15649BE5" w14:textId="77777777" w:rsidTr="00E57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A66C7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Action</w:t>
            </w:r>
          </w:p>
        </w:tc>
        <w:tc>
          <w:tcPr>
            <w:tcW w:w="0" w:type="auto"/>
            <w:hideMark/>
          </w:tcPr>
          <w:p w14:paraId="22D5B052" w14:textId="77777777" w:rsidR="00E24711" w:rsidRPr="00064C29" w:rsidRDefault="00E24711" w:rsidP="00E5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Tool Feature Used</w:t>
            </w:r>
          </w:p>
        </w:tc>
        <w:tc>
          <w:tcPr>
            <w:tcW w:w="0" w:type="auto"/>
            <w:hideMark/>
          </w:tcPr>
          <w:p w14:paraId="7AD9ECF6" w14:textId="77777777" w:rsidR="00E24711" w:rsidRPr="00064C29" w:rsidRDefault="00E24711" w:rsidP="00E573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  <w:b w:val="0"/>
                <w:bCs w:val="0"/>
              </w:rPr>
              <w:t>Outcome</w:t>
            </w:r>
          </w:p>
        </w:tc>
      </w:tr>
      <w:tr w:rsidR="00E24711" w:rsidRPr="00064C29" w14:paraId="109221BE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D63DA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64C29">
              <w:rPr>
                <w:rFonts w:ascii="Times New Roman" w:hAnsi="Times New Roman" w:cs="Times New Roman"/>
              </w:rPr>
              <w:t>Adjust regional price assumption</w:t>
            </w:r>
          </w:p>
        </w:tc>
        <w:tc>
          <w:tcPr>
            <w:tcW w:w="0" w:type="auto"/>
            <w:hideMark/>
          </w:tcPr>
          <w:p w14:paraId="2FAC7CDC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Scenario toggle</w:t>
            </w:r>
          </w:p>
        </w:tc>
        <w:tc>
          <w:tcPr>
            <w:tcW w:w="0" w:type="auto"/>
            <w:hideMark/>
          </w:tcPr>
          <w:p w14:paraId="073ED586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See real-time NPV/IRR shifts</w:t>
            </w:r>
          </w:p>
        </w:tc>
      </w:tr>
      <w:tr w:rsidR="00E24711" w:rsidRPr="00064C29" w14:paraId="5F03B6D2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52201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Add/remove planned project</w:t>
            </w:r>
          </w:p>
        </w:tc>
        <w:tc>
          <w:tcPr>
            <w:tcW w:w="0" w:type="auto"/>
            <w:hideMark/>
          </w:tcPr>
          <w:p w14:paraId="1896721B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Scenario builder</w:t>
            </w:r>
          </w:p>
        </w:tc>
        <w:tc>
          <w:tcPr>
            <w:tcW w:w="0" w:type="auto"/>
            <w:hideMark/>
          </w:tcPr>
          <w:p w14:paraId="5EA4454E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View impact on network ROI</w:t>
            </w:r>
          </w:p>
        </w:tc>
      </w:tr>
      <w:tr w:rsidR="00E24711" w:rsidRPr="00064C29" w14:paraId="67AB8898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98F4D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Analyze unmet demand by 2030</w:t>
            </w:r>
          </w:p>
        </w:tc>
        <w:tc>
          <w:tcPr>
            <w:tcW w:w="0" w:type="auto"/>
            <w:hideMark/>
          </w:tcPr>
          <w:p w14:paraId="344B3DDD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Heat Map</w:t>
            </w:r>
          </w:p>
        </w:tc>
        <w:tc>
          <w:tcPr>
            <w:tcW w:w="0" w:type="auto"/>
            <w:hideMark/>
          </w:tcPr>
          <w:p w14:paraId="4591064D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Target locations for next capex wave</w:t>
            </w:r>
          </w:p>
        </w:tc>
      </w:tr>
      <w:tr w:rsidR="00E24711" w:rsidRPr="00064C29" w14:paraId="3DC98F20" w14:textId="77777777" w:rsidTr="00E5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41A24" w14:textId="77777777" w:rsidR="00E24711" w:rsidRPr="00064C29" w:rsidRDefault="00E24711" w:rsidP="00E57373">
            <w:pPr>
              <w:jc w:val="center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Compare portfolio options</w:t>
            </w:r>
          </w:p>
        </w:tc>
        <w:tc>
          <w:tcPr>
            <w:tcW w:w="0" w:type="auto"/>
            <w:hideMark/>
          </w:tcPr>
          <w:p w14:paraId="448BB8A3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 xml:space="preserve">IRR / </w:t>
            </w:r>
            <w:proofErr w:type="spellStart"/>
            <w:r w:rsidRPr="00064C29">
              <w:rPr>
                <w:rFonts w:ascii="Times New Roman" w:hAnsi="Times New Roman" w:cs="Times New Roman"/>
              </w:rPr>
              <w:t>CapEx</w:t>
            </w:r>
            <w:proofErr w:type="spellEnd"/>
            <w:r w:rsidRPr="00064C29">
              <w:rPr>
                <w:rFonts w:ascii="Times New Roman" w:hAnsi="Times New Roman" w:cs="Times New Roman"/>
              </w:rPr>
              <w:t xml:space="preserve"> summary</w:t>
            </w:r>
          </w:p>
        </w:tc>
        <w:tc>
          <w:tcPr>
            <w:tcW w:w="0" w:type="auto"/>
            <w:hideMark/>
          </w:tcPr>
          <w:p w14:paraId="3F370BB9" w14:textId="77777777" w:rsidR="00E24711" w:rsidRPr="00064C29" w:rsidRDefault="00E24711" w:rsidP="00E57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C29">
              <w:rPr>
                <w:rFonts w:ascii="Times New Roman" w:hAnsi="Times New Roman" w:cs="Times New Roman"/>
              </w:rPr>
              <w:t>Choose between “Amber West” vs “Mixed Midwest” scenario</w:t>
            </w:r>
          </w:p>
        </w:tc>
      </w:tr>
    </w:tbl>
    <w:p w14:paraId="5AD74349" w14:textId="77777777" w:rsidR="003C3669" w:rsidRPr="00064C29" w:rsidRDefault="003C3669">
      <w:pPr>
        <w:rPr>
          <w:rFonts w:ascii="Times New Roman" w:hAnsi="Times New Roman" w:cs="Times New Roman"/>
        </w:rPr>
      </w:pPr>
    </w:p>
    <w:sectPr w:rsidR="003C3669" w:rsidRPr="00064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1137"/>
    <w:multiLevelType w:val="multilevel"/>
    <w:tmpl w:val="627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32F8"/>
    <w:multiLevelType w:val="multilevel"/>
    <w:tmpl w:val="13E6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D1F2B"/>
    <w:multiLevelType w:val="multilevel"/>
    <w:tmpl w:val="C6B4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6792B"/>
    <w:multiLevelType w:val="multilevel"/>
    <w:tmpl w:val="5E2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629D9"/>
    <w:multiLevelType w:val="multilevel"/>
    <w:tmpl w:val="5E9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15A46"/>
    <w:multiLevelType w:val="multilevel"/>
    <w:tmpl w:val="ECF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84958"/>
    <w:multiLevelType w:val="multilevel"/>
    <w:tmpl w:val="E63C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957A9"/>
    <w:multiLevelType w:val="multilevel"/>
    <w:tmpl w:val="5DD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69"/>
    <w:rsid w:val="00064C29"/>
    <w:rsid w:val="003C3669"/>
    <w:rsid w:val="009068B4"/>
    <w:rsid w:val="00914917"/>
    <w:rsid w:val="009F1D3D"/>
    <w:rsid w:val="00CD776B"/>
    <w:rsid w:val="00DF46FD"/>
    <w:rsid w:val="00E24711"/>
    <w:rsid w:val="00E5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C5BC"/>
  <w15:chartTrackingRefBased/>
  <w15:docId w15:val="{DE69BDF6-6457-4A65-8263-0A35B821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49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7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49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149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7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1Light">
    <w:name w:val="Grid Table 1 Light"/>
    <w:basedOn w:val="TableNormal"/>
    <w:uiPriority w:val="46"/>
    <w:rsid w:val="00E2471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Gong</dc:creator>
  <cp:keywords/>
  <dc:description/>
  <cp:lastModifiedBy>Yuxuan Gong</cp:lastModifiedBy>
  <cp:revision>12</cp:revision>
  <dcterms:created xsi:type="dcterms:W3CDTF">2025-03-27T16:15:00Z</dcterms:created>
  <dcterms:modified xsi:type="dcterms:W3CDTF">2025-03-27T16:52:00Z</dcterms:modified>
</cp:coreProperties>
</file>