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891e0d4123bd6786ac248c4e06a9fee35ea9e91"/>
    <w:p>
      <w:pPr>
        <w:pStyle w:val="Heading1"/>
      </w:pPr>
      <w:r>
        <w:t xml:space="preserve">Eiendomsmakt i dagligvaremarkedet i Norge og Norden</w:t>
      </w:r>
    </w:p>
    <w:bookmarkStart w:id="25" w:name="avgrensing-og-hovedfunn"/>
    <w:p>
      <w:pPr>
        <w:pStyle w:val="Heading2"/>
      </w:pPr>
      <w:r>
        <w:t xml:space="preserve">Avgrensing og hovedfunn</w:t>
      </w:r>
    </w:p>
    <w:p>
      <w:pPr>
        <w:pStyle w:val="FirstParagraph"/>
      </w:pPr>
      <w:r>
        <w:t xml:space="preserve">Det mest robuste kildematerialet peker i én retning: i norsk dagligvare er kontroll over egnede butikklokaler ikke bare et eiendomsspørsmål, men en konkurransefaktor med strukturell betydning. Konkurransetilsynet</w:t>
      </w:r>
      <w:hyperlink r:id="rId21">
        <w:r>
          <w:rPr>
            <w:rStyle w:val="Hyperlink"/>
          </w:rPr>
          <w:t xml:space="preserve">[1]</w:t>
        </w:r>
      </w:hyperlink>
      <w:r>
        <w:t xml:space="preserve"> </w:t>
      </w:r>
      <w:r>
        <w:t xml:space="preserve">beskriver markedet som høyt konsentrert og preget av betydelige etableringshindringer, og i 2024 hadde den største aktøren, NorgesGruppen</w:t>
      </w:r>
      <w:hyperlink r:id="rId22">
        <w:r>
          <w:rPr>
            <w:rStyle w:val="Hyperlink"/>
          </w:rPr>
          <w:t xml:space="preserve">[2]</w:t>
        </w:r>
      </w:hyperlink>
      <w:r>
        <w:t xml:space="preserve">, 43,5 prosent av nasjonal dagligvareomsetning fra fysiske butikker. Samtidig sier tilsynet uttrykkelig at tilgang til egnede lokaler er en nøkkelbarriere, og at kontroll over slike lokaler kan skje gjennom mer enn tinglyste servitutter, blant annet gjennom eksklusivitet i leieforhold. Regjeringen har derfor både forbudt nye konkurransebegrensende negative servitutter fra 2024 og varslet videre arbeid mot eksklusive leieavtaler i 2025–2026.</w:t>
      </w:r>
      <w:r>
        <w:t xml:space="preserve"> </w:t>
      </w:r>
      <w:hyperlink r:id="rId23">
        <w:r>
          <w:rPr>
            <w:rStyle w:val="Hyperlink"/>
          </w:rPr>
          <w:t xml:space="preserve">[3]</w:t>
        </w:r>
      </w:hyperlink>
    </w:p>
    <w:p>
      <w:pPr>
        <w:pStyle w:val="BodyText"/>
      </w:pPr>
      <w:r>
        <w:t xml:space="preserve">Det finnes også tydelig dokumentasjon på at eiendom er institusjonalisert i de store grupperingene. Regjeringens dagligvaremelding sier rett ut at alle dagligvaregrupperingene har etablert egne eiendomsselskaper for å sikre gode butikklokaler, og nevner eksplisitt eiendomsarmene til de sentrale norske aktørene. I årsrapporter og selskapsregistre ser man i tillegg at eiendomsforvaltning, utvikling, fremleie, overtakelse av leieforhold og oppkjøp av eiendomsselskaper er tilbakevendende deler av konsernaktiviteten.</w:t>
      </w:r>
      <w:r>
        <w:t xml:space="preserve"> </w:t>
      </w:r>
      <w:hyperlink r:id="rId24">
        <w:r>
          <w:rPr>
            <w:rStyle w:val="Hyperlink"/>
          </w:rPr>
          <w:t xml:space="preserve">[4]</w:t>
        </w:r>
      </w:hyperlink>
    </w:p>
    <w:p>
      <w:pPr>
        <w:pStyle w:val="BodyText"/>
      </w:pPr>
      <w:r>
        <w:t xml:space="preserve">Det svakeste punktet i offentligheten er ikke om eiendomsmekanismer finnes, men hvor langt de går i praksis. Negative servitutter er synlige fordi de tinglyses. Eksklusive leieavtaler er derimot som hovedregel private, og var derfor ikke del av den opprinnelige kartleggingen. Det betyr at offentlig dokumentasjon underestimerer den totale graden av lokal kontroll dersom mye av makten ligger i leieklausuler, opsjoner, opptrinnsretter, fremleie og sideavtaler.</w:t>
      </w:r>
      <w:r>
        <w:t xml:space="preserve"> </w:t>
      </w:r>
      <w:hyperlink r:id="rId21">
        <w:r>
          <w:rPr>
            <w:rStyle w:val="Hyperlink"/>
          </w:rPr>
          <w:t xml:space="preserve">[5]</w:t>
        </w:r>
      </w:hyperlink>
    </w:p>
    <w:bookmarkEnd w:id="25"/>
    <w:bookmarkStart w:id="31" w:name="norske-eiendoms--og-holdingsstrukturer"/>
    <w:p>
      <w:pPr>
        <w:pStyle w:val="Heading2"/>
      </w:pPr>
      <w:r>
        <w:t xml:space="preserve">Norske eiendoms- og holdingsstrukturer</w:t>
      </w:r>
    </w:p>
    <w:p>
      <w:pPr>
        <w:pStyle w:val="FirstParagraph"/>
      </w:pPr>
      <w:r>
        <w:t xml:space="preserve">På gruppenivå er eiendom ikke et randfenomen. Regjeringens melding om dagligvare og konkurranse fremhever at dagligvaregrupperingene har egne eiendomsvirksomheter, og navngir NorgesGruppen Eiendom AS</w:t>
      </w:r>
      <w:hyperlink r:id="rId24">
        <w:r>
          <w:rPr>
            <w:rStyle w:val="Hyperlink"/>
          </w:rPr>
          <w:t xml:space="preserve">[6]</w:t>
        </w:r>
      </w:hyperlink>
      <w:r>
        <w:t xml:space="preserve">, Coop Norge Eiendom AS</w:t>
      </w:r>
      <w:hyperlink r:id="rId26">
        <w:r>
          <w:rPr>
            <w:rStyle w:val="Hyperlink"/>
          </w:rPr>
          <w:t xml:space="preserve">[7]</w:t>
        </w:r>
      </w:hyperlink>
      <w:r>
        <w:t xml:space="preserve">, Reitan Eiendom AS</w:t>
      </w:r>
      <w:hyperlink r:id="rId27">
        <w:r>
          <w:rPr>
            <w:rStyle w:val="Hyperlink"/>
          </w:rPr>
          <w:t xml:space="preserve">[8]</w:t>
        </w:r>
      </w:hyperlink>
      <w:r>
        <w:t xml:space="preserve"> </w:t>
      </w:r>
      <w:r>
        <w:t xml:space="preserve">og I.K. Lykke Eiendom AS som sentrale eiendomsenheter knyttet til dagligvaregrupperingene. Det er i seg selv en viktig observasjon: staten beskriver eiendomsselskapene som en del av konkurransebildet, ikke bare som passive balanseposter.</w:t>
      </w:r>
      <w:r>
        <w:t xml:space="preserve"> </w:t>
      </w:r>
      <w:hyperlink r:id="rId24">
        <w:r>
          <w:rPr>
            <w:rStyle w:val="Hyperlink"/>
          </w:rPr>
          <w:t xml:space="preserve">[9]</w:t>
        </w:r>
      </w:hyperlink>
    </w:p>
    <w:p>
      <w:pPr>
        <w:pStyle w:val="BodyText"/>
      </w:pPr>
      <w:r>
        <w:t xml:space="preserve">Hos NorgesGruppen er koblingen særlig tydelig. Selskapet har et eget forretningsområde, “Etablering og Eiendom”, med hovedoppgave å finne gode beliggenheter for konsernets virksomheter. I Brønnøysundregistrene finnes både moderat generiske eiendomsselskaper og regionale kjøretøy som NorgesGruppen Eiendom AS, NorgesGruppen Eiendom Holding AS, NG Eiendom Vestfold Telemark AS og NorgesGruppen Vestfold Telemark AS, hvor virksomhetsbeskrivelsene omfatter eierskap, investering, innleie/fremleie og utvikling av handelseiendom. I tillegg opplyser Joh Johannson Invest at selskapet investerer i eiendom direkte og gjennom datterselskaper. Dette viser en bred eiendomsinfrastruktur rundt handelsvirksomheten, ikke bare enkelte butikkbygg.</w:t>
      </w:r>
      <w:r>
        <w:t xml:space="preserve"> </w:t>
      </w:r>
      <w:hyperlink r:id="rId28">
        <w:r>
          <w:rPr>
            <w:rStyle w:val="Hyperlink"/>
          </w:rPr>
          <w:t xml:space="preserve">[10]</w:t>
        </w:r>
      </w:hyperlink>
    </w:p>
    <w:p>
      <w:pPr>
        <w:pStyle w:val="BodyText"/>
      </w:pPr>
      <w:r>
        <w:t xml:space="preserve">Hos Coop Norge SA</w:t>
      </w:r>
      <w:hyperlink r:id="rId21">
        <w:r>
          <w:rPr>
            <w:rStyle w:val="Hyperlink"/>
          </w:rPr>
          <w:t xml:space="preserve">[11]</w:t>
        </w:r>
      </w:hyperlink>
      <w:r>
        <w:t xml:space="preserve"> </w:t>
      </w:r>
      <w:r>
        <w:t xml:space="preserve">er strukturen mer føderal. Coop Norge SA er felleseid av samvirkelagene og ivaretar sentrale funksjoner som innkjøp, logistikk, kjededrift og markedsføring, mens eiendom ligger både sentralt og regionalt. Brønnøysund viser Coop Norge Eiendom AS, Coop Eiendom Sørvest AS og Coop Midt-Norge Eiendom AS, og årsrapporter viser dessuten et stort antall stedsspesifikke eiendomsselskaper rundt de regionale lagene, blant annet rundt Coop Øst. Coop Norges årsrapport nevner eksplisitt selskaper som Coop Eiendom Sørvest AS og Coop Raufoss Kjøpesenter AS, noe som understreker at eiendomsleddet er både omfattende og fragmentert.</w:t>
      </w:r>
      <w:r>
        <w:t xml:space="preserve"> </w:t>
      </w:r>
      <w:hyperlink r:id="rId29">
        <w:r>
          <w:rPr>
            <w:rStyle w:val="Hyperlink"/>
          </w:rPr>
          <w:t xml:space="preserve">[12]</w:t>
        </w:r>
      </w:hyperlink>
    </w:p>
    <w:p>
      <w:pPr>
        <w:pStyle w:val="BodyText"/>
      </w:pPr>
      <w:r>
        <w:t xml:space="preserve">Hos Reitan Retail</w:t>
      </w:r>
      <w:hyperlink r:id="rId30">
        <w:r>
          <w:rPr>
            <w:rStyle w:val="Hyperlink"/>
          </w:rPr>
          <w:t xml:space="preserve">[13]</w:t>
        </w:r>
      </w:hyperlink>
      <w:r>
        <w:t xml:space="preserve"> </w:t>
      </w:r>
      <w:r>
        <w:t xml:space="preserve">er eiendomsarmen ikke bare tilknyttet handelen, men bygget ut som en søsterstruktur i samme eierunivers. Reitan Eiendom skriver at selskapet ble etablert i 1995, og at et tyvetalls butikkeiendommer for REMA 1000 var starten. Årsrapporten for 2024 sier videre at Reitan Eiendom er eid av Reitanfamilien gjennom REITAN AS og Odd Reitans private holdingselskap, og at eiendomsvirksomheten består av flere datterselskaper og tilknyttede selskaper, deriblant E C Dahls Eiendom, RELOG, REBUS Handelseiendom og Christiania Areal. Dette er ikke bare en støttefunksjon til kjøpmannsdriften, men et storstilt eiendomskonsern med egne vekstambisjoner.</w:t>
      </w:r>
      <w:r>
        <w:t xml:space="preserve"> </w:t>
      </w:r>
      <w:hyperlink r:id="rId27">
        <w:r>
          <w:rPr>
            <w:rStyle w:val="Hyperlink"/>
          </w:rPr>
          <w:t xml:space="preserve">[14]</w:t>
        </w:r>
      </w:hyperlink>
    </w:p>
    <w:bookmarkEnd w:id="31"/>
    <w:bookmarkStart w:id="33" w:name="X38ed3f9b90334f0c1fc96e6f9cf99dc0a2c6bb6"/>
    <w:p>
      <w:pPr>
        <w:pStyle w:val="Heading2"/>
      </w:pPr>
      <w:r>
        <w:t xml:space="preserve">Internleie, verdioverføring og sale-leaseback</w:t>
      </w:r>
    </w:p>
    <w:p>
      <w:pPr>
        <w:pStyle w:val="FirstParagraph"/>
      </w:pPr>
      <w:r>
        <w:t xml:space="preserve">For spørsmålet om internleie og verdioverføring er offentlig dokumentasjon skjevt fordelt mellom gruppene. Den klareste dokumentasjonen fant jeg hos NorgesGruppen. Selskapets registreringsdokument fra 2025 opplyser at andre driftskostnader i 2024 inkluderte husleie på 120 millioner kroner til Joh. Johannson Eiendom AS</w:t>
      </w:r>
      <w:hyperlink r:id="rId27">
        <w:r>
          <w:rPr>
            <w:rStyle w:val="Hyperlink"/>
          </w:rPr>
          <w:t xml:space="preserve">[15]</w:t>
        </w:r>
      </w:hyperlink>
      <w:r>
        <w:t xml:space="preserve"> </w:t>
      </w:r>
      <w:r>
        <w:t xml:space="preserve">og Bokveien 112 AS, samt NorgesGruppens andel av husleie til Alf Bjercke Eiendom AS på 48 millioner kroner. Eldre og nyere rapporteringsdokumenter viser samme mønster over tid: årsrapporter og regnskaper lister gjentatte ganger utleie av eiendom fra nærstående eiendomsselskaper som en materiell type transaksjon, ofte i størrelsesorden 10–200 MNOK eller 70–75 MNOK. Det er dermed dokumentert fakta at betydelige leiestrømmer har gått fra driftssiden til nærstående eiendomsenheter i og rundt NorgesGruppen-systemet.</w:t>
      </w:r>
      <w:r>
        <w:t xml:space="preserve"> </w:t>
      </w:r>
      <w:hyperlink r:id="rId22">
        <w:r>
          <w:rPr>
            <w:rStyle w:val="Hyperlink"/>
          </w:rPr>
          <w:t xml:space="preserve">[16]</w:t>
        </w:r>
      </w:hyperlink>
    </w:p>
    <w:p>
      <w:pPr>
        <w:pStyle w:val="BodyText"/>
      </w:pPr>
      <w:r>
        <w:t xml:space="preserve">I Coop-systemet er den offentlige dokumentasjonen mindre presis på beløp, men tydelig på struktur. Coop Midt-Norge skriver at konsernet eier og forvalter eiendom som brukes både i egen virksomhet og i ekstern utleie, med om lag 925 000 kvm tomteareal, rundt 325 000 kvm bygningsmasse, 120 interne og omtrent 400 eksterne leieforhold. Det dokumenterer ikke bare at eiendom er viktig, men at internleie faktisk forekommer i betydelig omfang i en stor regional Coop-enhet. I tillegg finnes et klart norsk eksempel på sale-leaseback: Coop opplyste i 2015 at de solgte Grorud-eiendommen til et Union-fond og samtidig inngikk tilbakeleie på deler av eiendommen.</w:t>
      </w:r>
      <w:r>
        <w:t xml:space="preserve"> </w:t>
      </w:r>
      <w:hyperlink r:id="rId32">
        <w:r>
          <w:rPr>
            <w:rStyle w:val="Hyperlink"/>
          </w:rPr>
          <w:t xml:space="preserve">[17]</w:t>
        </w:r>
      </w:hyperlink>
    </w:p>
    <w:p>
      <w:pPr>
        <w:pStyle w:val="BodyText"/>
      </w:pPr>
      <w:r>
        <w:t xml:space="preserve">I Reitan-sfæren er den mest håndfaste dokumentasjonen ikke leienoten, men eiendomsoverføringen. Reitan Eiendoms 2024-rapport opplyser at REBUS Handelseiendom i desember 2023 kjøpte REBUS Utvikling fra REMA 1000 Norge, og at transaksjonen besto av en eiendomsportefølje med 27 heleide og 38 deleide eiendommer. Samme rapport viser at Reitan Eiendom i 2024 hadde om lag 2,077 millioner kvm bygg under forvaltning og 2 milliarder kroner i omsetning. Det er derfor dokumentert at store butikk- og handelseiendommer kan flyttes internt fra retail-leddet til eiendomsleddet i det samme eieruniverset.</w:t>
      </w:r>
      <w:r>
        <w:t xml:space="preserve"> </w:t>
      </w:r>
      <w:hyperlink r:id="rId27">
        <w:r>
          <w:rPr>
            <w:rStyle w:val="Hyperlink"/>
          </w:rPr>
          <w:t xml:space="preserve">[18]</w:t>
        </w:r>
      </w:hyperlink>
    </w:p>
    <w:p>
      <w:pPr>
        <w:pStyle w:val="BodyText"/>
      </w:pPr>
      <w:r>
        <w:t xml:space="preserve">Det betyr ikke at hele hypotesen om internleie er fullgodt verifisert på tvers av markedet. For Coop og Reitan fant jeg ikke i de tilgjengelige offentlige kildene like granular noteinformasjon om driftsselskapenes leiebetalinger til eiendomsselskaper som hos NorgesGruppen. Det sikre er derfor ikke at alle tre grupper bruker samme modell i samme grad, men at markedet allerede gir flere dokumenterte eksempler på internleie, nærstående leiestrømmer, interne eiendomsoverføringer og sale-leaseback.</w:t>
      </w:r>
      <w:r>
        <w:t xml:space="preserve"> </w:t>
      </w:r>
      <w:hyperlink r:id="rId22">
        <w:r>
          <w:rPr>
            <w:rStyle w:val="Hyperlink"/>
          </w:rPr>
          <w:t xml:space="preserve">[19]</w:t>
        </w:r>
      </w:hyperlink>
    </w:p>
    <w:bookmarkEnd w:id="33"/>
    <w:bookmarkStart w:id="35" w:name="X0117b6cda258b7490e0f5ea215bc7c4f3c2c3f8"/>
    <w:p>
      <w:pPr>
        <w:pStyle w:val="Heading2"/>
      </w:pPr>
      <w:r>
        <w:t xml:space="preserve">Hvordan kontroll over tomter, leiekontrakter og servitutter påvirker konkurransen</w:t>
      </w:r>
    </w:p>
    <w:p>
      <w:pPr>
        <w:pStyle w:val="FirstParagraph"/>
      </w:pPr>
      <w:r>
        <w:t xml:space="preserve">På det regulatoriske nivået er konklusjonen ganske klar: begrenset tilgang til attraktive butikklokaler er en av de viktigste etableringshindringene i norsk dagligvare. Regjeringens dagligvaremelding, med henvisning til Oslo Economics og Oeconomica, sier at de to viktigste etableringshindringene er relative volumgevinster i innkjøp og avgrenset tilgang til attraktive butikklokaler. Meldingen sier også at denne lokalbarrieren blir forsterket av innkjøpsfordelene, fordi en ny aktør må vokse raskt nok til å få konkurransedyktige innkjøpsvilkår. Eiendom og innkjøpsmakt virker altså sammen.</w:t>
      </w:r>
      <w:r>
        <w:t xml:space="preserve"> </w:t>
      </w:r>
      <w:hyperlink r:id="rId24">
        <w:r>
          <w:rPr>
            <w:rStyle w:val="Hyperlink"/>
          </w:rPr>
          <w:t xml:space="preserve">[20]</w:t>
        </w:r>
      </w:hyperlink>
    </w:p>
    <w:p>
      <w:pPr>
        <w:pStyle w:val="BodyText"/>
      </w:pPr>
      <w:r>
        <w:t xml:space="preserve">Dagligvaremeldingen beskriver deretter mekanismene ganske konkret. Alle gruppene har eiendomsselskaper for å sikre gode lokaler. Etablerte aktører kan ha høyere betalingsvilje enn nykommere fordi de har større inntjeningspotensial og stordriftsfordeler. Meldingen peker også på at en etablert aktør kan være villig til å kjøpe en eiendom selv om det ikke er attraktivt å åpne butikk der, nettopp for å hindre at en konkurrent gjør det. Den beskriver også “opptrinnsrett” til butikklokaler, altså rett til å overta et lokale når konkurrentens leie løper ut, og viser til bruk av klausuler og servitutter som kan hindre dagligvarebruk også etter videresalg. Dette er den mest direkte offentlige beskrivelsen av retail-eiendom som ekskluderingsmiddel i Norge.</w:t>
      </w:r>
      <w:r>
        <w:t xml:space="preserve"> </w:t>
      </w:r>
      <w:hyperlink r:id="rId24">
        <w:r>
          <w:rPr>
            <w:rStyle w:val="Hyperlink"/>
          </w:rPr>
          <w:t xml:space="preserve">[21]</w:t>
        </w:r>
      </w:hyperlink>
    </w:p>
    <w:p>
      <w:pPr>
        <w:pStyle w:val="BodyText"/>
      </w:pPr>
      <w:r>
        <w:t xml:space="preserve">Når det gjelder servitutter, er fakta særlig sterke. Regjeringen opplyste i 2023 at Konkurransetilsynet fant over 350 registrerte negative servitutter hvor en av de tre store dagligvaregrupperingene var rettighetshaver. Disse servituttene forhindret eller vanskeliggjorde bruk av eiendom til dagligvarevirksomhet, og de fleste lå i eller rundt de store byene. I dagligvarerapporten for 2024 skriver tilsynet at ingen nye slike servitutter var stiftet etter at forbudet trådte i kraft 1. januar 2024, men også at flere kjeder fortsatt hadde eldre servitutter, og at samarbeidspartnere i flere tilfeller hadde tinglyste servitutter til fordel for kjedene.</w:t>
      </w:r>
      <w:r>
        <w:t xml:space="preserve"> </w:t>
      </w:r>
      <w:hyperlink r:id="rId34">
        <w:r>
          <w:rPr>
            <w:rStyle w:val="Hyperlink"/>
          </w:rPr>
          <w:t xml:space="preserve">[22]</w:t>
        </w:r>
      </w:hyperlink>
    </w:p>
    <w:p>
      <w:pPr>
        <w:pStyle w:val="BodyText"/>
      </w:pPr>
      <w:r>
        <w:t xml:space="preserve">Eksklusive leiekontrakter er den mørkere delen av bildet. Konkurransetilsynets dagligvarerapport 2022 sier at tilsynet kjenner til at eksklusivavtaler ikke er uvanlige, men at omfanget ikke var undersøkt fordi slike avtaler ikke er offentlige. Høringsnotatet fra departementet legger samme premiss til grunn og sier uttrykkelig at eksklusive leieavtaler og negative servitutter langt på vei har samme virkninger. I dagligvarerapport 2024 skriver tilsynet at det har en formening om at eksklusive leieavtaler forekommer relativt ofte, og i statsbudsjettet for 2025–2026 sier regjeringen at arbeidet med eksklusivitet i leieforhold skal prioriteres og at ytterligere tiltak vurderes.</w:t>
      </w:r>
      <w:r>
        <w:t xml:space="preserve"> </w:t>
      </w:r>
      <w:hyperlink r:id="rId21">
        <w:r>
          <w:rPr>
            <w:rStyle w:val="Hyperlink"/>
          </w:rPr>
          <w:t xml:space="preserve">[23]</w:t>
        </w:r>
      </w:hyperlink>
    </w:p>
    <w:p>
      <w:pPr>
        <w:pStyle w:val="BodyText"/>
      </w:pPr>
      <w:r>
        <w:t xml:space="preserve">At eiendom er et sentralt maktpunkt, bekreftes også indirekte av strukturkontrollen. Konkurransetilsynets utvidede opplysningsplikt for dagligvarekjedene omfatter i noen tilfeller langvarige leieavtaler og overtakelse av leieforhold. I dagligvarerapport 2022 står det dessuten at eiendom og eiendomsutleie var den største transaksjonskategorien i NorgesGruppens rapporterte transaksjoner, og at formålet med den utvidede opplysningsplikten nettopp er å overvåke om kjedene gjennom ulike former for eiendomskontroll hindrer lokal konkurranse. Når tilsynet ber om data om leieforhold, eiendomsselskaper og eiendomserverv, er det fordi de anser dette som konkurranserelevant.</w:t>
      </w:r>
      <w:r>
        <w:t xml:space="preserve"> </w:t>
      </w:r>
      <w:hyperlink r:id="rId21">
        <w:r>
          <w:rPr>
            <w:rStyle w:val="Hyperlink"/>
          </w:rPr>
          <w:t xml:space="preserve">[24]</w:t>
        </w:r>
      </w:hyperlink>
    </w:p>
    <w:bookmarkEnd w:id="35"/>
    <w:bookmarkStart w:id="38" w:name="Xe34462d6ae50f3ff90b09308cd881857ccf1b43"/>
    <w:p>
      <w:pPr>
        <w:pStyle w:val="Heading2"/>
      </w:pPr>
      <w:r>
        <w:t xml:space="preserve">Sammenlignbare funn i Norden og i regulatorisk litteratur</w:t>
      </w:r>
    </w:p>
    <w:p>
      <w:pPr>
        <w:pStyle w:val="FirstParagraph"/>
      </w:pPr>
      <w:r>
        <w:t xml:space="preserve">I Sverige er dette svært tydelig dokumentert. Konkurrensverket</w:t>
      </w:r>
      <w:hyperlink r:id="rId22">
        <w:r>
          <w:rPr>
            <w:rStyle w:val="Hyperlink"/>
          </w:rPr>
          <w:t xml:space="preserve">[25]</w:t>
        </w:r>
      </w:hyperlink>
      <w:r>
        <w:t xml:space="preserve"> </w:t>
      </w:r>
      <w:r>
        <w:t xml:space="preserve">skrev i sin oppsummering av matbransjegranskingen 2023–2024 at mangel på tilgang til retail-lokasjoner er en etableringsbarriere, at både kommunal arealplanlegging og dagligvarekjedenes egne handlinger kan gjøre etablering unødvendig vanskelig, og at klausuler i avtaler med eiendomsbesittere eller tilknyttede detaljister kan gjøre det vanskeligere for konkurrenter å åpne nye butikker eller overta eksisterende. I Sveriges OECD-bidrag fra 2024 går myndigheten enda lenger og sier at de store dagligvareaktørene kontrollerer en stor andel av eksisterende butikker og butikklokasjoner, enten gjennom eierskap eller førsthånds leiekontrakter.</w:t>
      </w:r>
      <w:r>
        <w:t xml:space="preserve"> </w:t>
      </w:r>
      <w:hyperlink r:id="rId36">
        <w:r>
          <w:rPr>
            <w:rStyle w:val="Hyperlink"/>
          </w:rPr>
          <w:t xml:space="preserve">[26]</w:t>
        </w:r>
      </w:hyperlink>
    </w:p>
    <w:p>
      <w:pPr>
        <w:pStyle w:val="BodyText"/>
      </w:pPr>
      <w:r>
        <w:t xml:space="preserve">I Danmark er mekanismen dokumentert i mer rettslig og eiendomsøkonomisk form. Konkurrence- og Forbrugerstyrelsen</w:t>
      </w:r>
      <w:hyperlink r:id="rId22">
        <w:r>
          <w:rPr>
            <w:rStyle w:val="Hyperlink"/>
          </w:rPr>
          <w:t xml:space="preserve">[27]</w:t>
        </w:r>
      </w:hyperlink>
      <w:r>
        <w:t xml:space="preserve"> </w:t>
      </w:r>
      <w:r>
        <w:t xml:space="preserve">har pekt på at den danske erhvervslejeloven kan gjøre det vanskelig for utleiere å bytte leietaker og dermed fungere som en etableringsbarriere for nye butikker. Samme analyse peker også på at planloven og nasjonale størrelsesbegrensninger for nye butikker virker konkurransemessig hemmende. I tillegg finnes det rene sale-leaseback-eksempler i nordisk dagligvareeiendom: i 2024 kjøpte Cibus Nordic Real Estate</w:t>
      </w:r>
      <w:hyperlink r:id="rId22">
        <w:r>
          <w:rPr>
            <w:rStyle w:val="Hyperlink"/>
          </w:rPr>
          <w:t xml:space="preserve">[28]</w:t>
        </w:r>
      </w:hyperlink>
      <w:r>
        <w:t xml:space="preserve"> </w:t>
      </w:r>
      <w:r>
        <w:t xml:space="preserve">fem dagligvarebutikker i Danmark fra Dagrofa</w:t>
      </w:r>
      <w:hyperlink r:id="rId37">
        <w:r>
          <w:rPr>
            <w:rStyle w:val="Hyperlink"/>
          </w:rPr>
          <w:t xml:space="preserve">[29]</w:t>
        </w:r>
      </w:hyperlink>
      <w:r>
        <w:t xml:space="preserve"> </w:t>
      </w:r>
      <w:r>
        <w:t xml:space="preserve">i en eksplisitt sale-and-leaseback-transaksjon.</w:t>
      </w:r>
      <w:r>
        <w:t xml:space="preserve"> </w:t>
      </w:r>
      <w:hyperlink r:id="rId30">
        <w:r>
          <w:rPr>
            <w:rStyle w:val="Hyperlink"/>
          </w:rPr>
          <w:t xml:space="preserve">[30]</w:t>
        </w:r>
      </w:hyperlink>
    </w:p>
    <w:p>
      <w:pPr>
        <w:pStyle w:val="BodyText"/>
      </w:pPr>
      <w:r>
        <w:t xml:space="preserve">I Finland er kildene mer spredte, men de peker i samme retning. Den norske dagligvaremeldingen viser til at den finske markanvändnings- og bygglagen ble revidert slik at fungerende konkurranse uttrykkelig ble gjort til et mål for arealplanleggingen. En OECD-oversikt viser samtidig at konkurransemyndighetene i Finland arbeider med konkurransen i matkjeden og kan gripe inn mot vertikale avtaler utenfor gruppefritakene. På markedssiden finnes dessuten klare eiendomseksempler: HPP opplyste i 2020 at et Cibus-tilknyttet selskap kjøpte to dagligvareeiendommer i Finland fullt utleid til S Group og Kesko, og i 2025 ble det meldt om en finsk sale-and-leaseback-transaksjon med en større dagligvarekjede i Iisalmi og en 18-årig leieavtale.</w:t>
      </w:r>
      <w:r>
        <w:t xml:space="preserve"> </w:t>
      </w:r>
      <w:hyperlink r:id="rId24">
        <w:r>
          <w:rPr>
            <w:rStyle w:val="Hyperlink"/>
          </w:rPr>
          <w:t xml:space="preserve">[31]</w:t>
        </w:r>
      </w:hyperlink>
    </w:p>
    <w:p>
      <w:pPr>
        <w:pStyle w:val="BodyText"/>
      </w:pPr>
      <w:r>
        <w:t xml:space="preserve">Dersom man løfter blikket litt utover Norden, blir teorien enda tydeligere. OECD har lenge behandlet areal- og lokasjonsrestriksjoner som en klassisk etableringsbarriere. I Storbritannia svarte konkurransemyndighetene med Groceries Market Investigation Controlled Land Order, som forbyr store dagligvareaktører å etablere nye restrictive covenants som hindrer fremtidig dagligvarebruk av eiendom, og begrenser håndheving av eksklusivitetsordninger. På den mer akademiske siden fant en norsk masteroppgave fra 2024 at et høyere antall restrictive covenants var assosiert med høyere markedskonsentrasjon og høyere butikkomsetning. Det er ikke endelig kausal bevisføring, men det er konsistent med at eiendomskontroll kan fungere som markedsmakt.</w:t>
      </w:r>
      <w:r>
        <w:t xml:space="preserve"> </w:t>
      </w:r>
      <w:hyperlink r:id="rId26">
        <w:r>
          <w:rPr>
            <w:rStyle w:val="Hyperlink"/>
          </w:rPr>
          <w:t xml:space="preserve">[32]</w:t>
        </w:r>
      </w:hyperlink>
    </w:p>
    <w:bookmarkEnd w:id="38"/>
    <w:bookmarkStart w:id="40" w:name="syntese-og-videre-testing"/>
    <w:p>
      <w:pPr>
        <w:pStyle w:val="Heading2"/>
      </w:pPr>
      <w:r>
        <w:t xml:space="preserve">Syntese og videre testing</w:t>
      </w:r>
    </w:p>
    <w:p>
      <w:pPr>
        <w:pStyle w:val="FirstParagraph"/>
      </w:pPr>
      <w:r>
        <w:rPr>
          <w:b/>
          <w:bCs/>
        </w:rPr>
        <w:t xml:space="preserve">Dokumentert fakta.</w:t>
      </w:r>
      <w:r>
        <w:t xml:space="preserve"> </w:t>
      </w:r>
      <w:r>
        <w:t xml:space="preserve">Det er dokumentert at de store norske grupperingene har egne eiendomsenheter eller eiendomsnære holdingsstrukturer; at myndighetene behandler tilgang til attraktive butikklokaler som en sentral etableringsbarriere; at det er funnet et stort antall negative servitutter; at eksklusive leieavtaler anses å kunne ha tilsvarende effekt; og at det i alle fall i deler av markedet finnes dokumenterte leiestrømmer og eiendomsoverføringer mellom driftsselskap, eiendomsselskap og nærstående enheter. Sverige og Danmark dokumenterer tilsvarende mekanismer, og Finland viser samme grunnlogikk gjennom planlovgivning og eiendomstransaksjoner i dagligvare.</w:t>
      </w:r>
      <w:r>
        <w:t xml:space="preserve"> </w:t>
      </w:r>
      <w:hyperlink r:id="rId24">
        <w:r>
          <w:rPr>
            <w:rStyle w:val="Hyperlink"/>
          </w:rPr>
          <w:t xml:space="preserve">[33]</w:t>
        </w:r>
      </w:hyperlink>
    </w:p>
    <w:p>
      <w:pPr>
        <w:pStyle w:val="BodyText"/>
      </w:pPr>
      <w:r>
        <w:rPr>
          <w:b/>
          <w:bCs/>
        </w:rPr>
        <w:t xml:space="preserve">Plausibel strukturfortolkning.</w:t>
      </w:r>
      <w:r>
        <w:t xml:space="preserve"> </w:t>
      </w:r>
      <w:r>
        <w:t xml:space="preserve">Den mest plausible tolkningen av dette materialet er at eiendomsmakt i dagligvare ikke primært handler om passiv kapitalplassering, men om kontroll over knapphet: kontroll over hvor butikk kan ligge, hvem som får leie, hvem som får overta, hvilke lokaler som kan brukes til dagligvare, og hvor raskt en utfordrer kan nå nødvendig volum. Når denne kontrollen kombineres med bedre innkjøpsvilkår og sterk kapitaltilgang, blir eiendom et verktøy for både eksklusjon og utholdenhet i lokale markeder. Dette er en tolkning, men den bygger direkte på myndighetenes egen beskrivelse av opptrinnsretter, klausuler, servitutter, eiendomserverv og sammenhengen mellom lokaler og innkjøpsmakt.</w:t>
      </w:r>
      <w:r>
        <w:t xml:space="preserve"> </w:t>
      </w:r>
      <w:hyperlink r:id="rId24">
        <w:r>
          <w:rPr>
            <w:rStyle w:val="Hyperlink"/>
          </w:rPr>
          <w:t xml:space="preserve">[34]</w:t>
        </w:r>
      </w:hyperlink>
    </w:p>
    <w:p>
      <w:pPr>
        <w:pStyle w:val="BodyText"/>
      </w:pPr>
      <w:r>
        <w:rPr>
          <w:b/>
          <w:bCs/>
        </w:rPr>
        <w:t xml:space="preserve">Uverifiserte hypoteser.</w:t>
      </w:r>
      <w:r>
        <w:t xml:space="preserve"> </w:t>
      </w:r>
      <w:r>
        <w:t xml:space="preserve">Det finnes likevel hypoteser som ikke er hardt testet offentlig. Én er at en betydelig del av markedsmakten i norske lokalsmarkeder ligger i kontraktsmessig kontroll over arealer snarere enn i de mest synlige marginene. En annen er at deler av denne kontrollen kan ligge i indirekte strukturer, som fond, nærstående investeringsselskaper eller leieopsjoner som ikke fanges av ordinære årsregnskap. En tredje er at internleie kan brukes til å plassere avkastning i eiendomsleddet og dermed gjøre driftsleddet vanskeligere å tolke konkurranseøkonomisk. Disse hypotesene er plausible ut fra tilgjengelige fakta, men ikke bevist her.</w:t>
      </w:r>
      <w:r>
        <w:t xml:space="preserve"> </w:t>
      </w:r>
      <w:hyperlink r:id="rId37">
        <w:r>
          <w:rPr>
            <w:rStyle w:val="Hyperlink"/>
          </w:rPr>
          <w:t xml:space="preserve">[35]</w:t>
        </w:r>
      </w:hyperlink>
    </w:p>
    <w:p>
      <w:pPr>
        <w:pStyle w:val="BodyText"/>
      </w:pPr>
      <w:r>
        <w:rPr>
          <w:b/>
          <w:bCs/>
        </w:rPr>
        <w:t xml:space="preserve">En modell for hvordan eiendomsmakt kan virke i praksis</w:t>
      </w:r>
    </w:p>
    <w:p>
      <w:pPr>
        <w:pStyle w:val="Compact"/>
        <w:numPr>
          <w:ilvl w:val="0"/>
          <w:numId w:val="1001"/>
        </w:numPr>
      </w:pPr>
      <w:r>
        <w:t xml:space="preserve">Gruppen sikrer kontroll over en knapp lokasjon gjennom eierskap, kjøp av eiendomsselskap, langvarig leie, opptrinnsrett eller overtakelse av leieforhold. Dette er nettopp typer transaksjoner Konkurransetilsynet har villet overvåke gjennom opplysningsplikten.</w:t>
      </w:r>
      <w:r>
        <w:t xml:space="preserve"> </w:t>
      </w:r>
      <w:hyperlink r:id="rId21">
        <w:r>
          <w:rPr>
            <w:rStyle w:val="Hyperlink"/>
          </w:rPr>
          <w:t xml:space="preserve">[36]</w:t>
        </w:r>
      </w:hyperlink>
    </w:p>
    <w:p>
      <w:pPr>
        <w:pStyle w:val="Compact"/>
        <w:numPr>
          <w:ilvl w:val="0"/>
          <w:numId w:val="1001"/>
        </w:numPr>
      </w:pPr>
      <w:r>
        <w:t xml:space="preserve">Lokasjonen tas helt eller delvis ut av rivalenes tilgjengelige marked, enten ved egen butikk, ved utleie til ikke-dagligvare, eller ved servitutt eller eksklusivitetsklausul som hindrer rival bruk. Norske myndigheter beskriver eksplisitt alle disse mekanismene.</w:t>
      </w:r>
      <w:r>
        <w:t xml:space="preserve"> </w:t>
      </w:r>
      <w:hyperlink r:id="rId24">
        <w:r>
          <w:rPr>
            <w:rStyle w:val="Hyperlink"/>
          </w:rPr>
          <w:t xml:space="preserve">[37]</w:t>
        </w:r>
      </w:hyperlink>
    </w:p>
    <w:p>
      <w:pPr>
        <w:pStyle w:val="Compact"/>
        <w:numPr>
          <w:ilvl w:val="0"/>
          <w:numId w:val="1001"/>
        </w:numPr>
      </w:pPr>
      <w:r>
        <w:t xml:space="preserve">Rivalen mister et attraktivt punkt for volumoppbygging. Det gjør det vanskeligere å komme raskt opp i skala, og dermed vanskeligere å få konkurransedyktige innkjøpsvilkår. Lokaler og innkjøpsmakt låser dermed hverandre sammen.</w:t>
      </w:r>
      <w:r>
        <w:t xml:space="preserve"> </w:t>
      </w:r>
      <w:hyperlink r:id="rId24">
        <w:r>
          <w:rPr>
            <w:rStyle w:val="Hyperlink"/>
          </w:rPr>
          <w:t xml:space="preserve">[20]</w:t>
        </w:r>
      </w:hyperlink>
    </w:p>
    <w:p>
      <w:pPr>
        <w:pStyle w:val="Compact"/>
        <w:numPr>
          <w:ilvl w:val="0"/>
          <w:numId w:val="1001"/>
        </w:numPr>
      </w:pPr>
      <w:r>
        <w:t xml:space="preserve">Avkastningen kan flyttes eller stabiliseres i eiendomsleddet gjennom internleie, nærstående leiebetalinger eller interne eiendomsoverføringer, selv når kundemøtet skjer i et annet selskap. Dette er dokumentert i NorgesGruppens notepraksis og Reitan-sfærens interne porteføljeoverføring, og strukturelt synlig i Coop.</w:t>
      </w:r>
      <w:r>
        <w:t xml:space="preserve"> </w:t>
      </w:r>
      <w:hyperlink r:id="rId22">
        <w:r>
          <w:rPr>
            <w:rStyle w:val="Hyperlink"/>
          </w:rPr>
          <w:t xml:space="preserve">[38]</w:t>
        </w:r>
      </w:hyperlink>
    </w:p>
    <w:p>
      <w:pPr>
        <w:pStyle w:val="Compact"/>
        <w:numPr>
          <w:ilvl w:val="0"/>
          <w:numId w:val="1001"/>
        </w:numPr>
      </w:pPr>
      <w:r>
        <w:t xml:space="preserve">Dersom kapital skal frigjøres, kan eiendommene selges med tilbakeleie uten at lokasjonskontrollen forsvinner. Coop-eksemplet på Grorud og nordiske sale-leaseback-transaksjoner viser hvordan kapital kan realiseres samtidig som bruksretten beholdes.</w:t>
      </w:r>
      <w:r>
        <w:t xml:space="preserve"> </w:t>
      </w:r>
      <w:hyperlink r:id="rId39">
        <w:r>
          <w:rPr>
            <w:rStyle w:val="Hyperlink"/>
          </w:rPr>
          <w:t xml:space="preserve">[39]</w:t>
        </w:r>
      </w:hyperlink>
    </w:p>
    <w:p>
      <w:pPr>
        <w:pStyle w:val="FirstParagraph"/>
      </w:pPr>
      <w:r>
        <w:rPr>
          <w:b/>
          <w:bCs/>
        </w:rPr>
        <w:t xml:space="preserve">Datakilder som må til for å teste hypotesen hardere</w:t>
      </w:r>
    </w:p>
    <w:p>
      <w:pPr>
        <w:pStyle w:val="BodyText"/>
      </w:pPr>
      <w:r>
        <w:t xml:space="preserve">For å gå fra plausibel strukturfortolkning til hard test, trengs særlig fem typer data. For det første: grunnboksdata på eiendomsnivå, med historikk over negative servitutter, slettinger og tinglyste rettigheter. For det andre: selve leiekontraktene, inkludert eksklusivitetsklausuler, opptrinnsretter, opsjoner, fremleierettigheter, assignment-restriksjoner og forlengelsesmekanismer; nettopp disse er i dag den største offentlige blinde flekken. For det tredje: Konkurransetilsynets meldinger og bakgrunnsdokumenter under opplysningsplikten, særlig om langvarige leieavtaler, overtakelse av leieforhold og oppkjøp av eiendomsselskaper. For det fjerde: juridiske enhetsregnskaper og noter om nærstående transaksjoner, slik at internleie og eiendomsoverføringer kan spores butikk for butikk eller region for region. For det femte: butikkpaneldata med geografi, omsetning, butikkstørrelse, lønnsomhet, etablerings- og nedleggelsestidspunkt og lokal markedskonsentrasjon, slik at man kan teste om eiendomskontroll faktisk gir utslag i priser, markedsandeler og rivalenes etableringssannsynlighet.</w:t>
      </w:r>
      <w:r>
        <w:t xml:space="preserve"> </w:t>
      </w:r>
      <w:hyperlink r:id="rId34">
        <w:r>
          <w:rPr>
            <w:rStyle w:val="Hyperlink"/>
          </w:rPr>
          <w:t xml:space="preserve">[40]</w:t>
        </w:r>
      </w:hyperlink>
    </w:p>
    <w:p>
      <w:pPr>
        <w:pStyle w:val="BodyText"/>
      </w:pPr>
      <w:r>
        <w:rPr>
          <w:b/>
          <w:bCs/>
        </w:rPr>
        <w:t xml:space="preserve">Fem presise spørsmål til videre research eller intervjuer</w:t>
      </w:r>
    </w:p>
    <w:p>
      <w:pPr>
        <w:pStyle w:val="Compact"/>
        <w:numPr>
          <w:ilvl w:val="0"/>
          <w:numId w:val="1002"/>
        </w:numPr>
      </w:pPr>
      <w:r>
        <w:t xml:space="preserve">I hvor mange saker de siste ti årene har kjeden eller tilknyttede eiendomsselskaper kjøpt eller kontrollert lokasjoner uten faktisk plan om egen dagligvaredrift innen tre år?</w:t>
      </w:r>
    </w:p>
    <w:p>
      <w:pPr>
        <w:pStyle w:val="Compact"/>
        <w:numPr>
          <w:ilvl w:val="0"/>
          <w:numId w:val="1002"/>
        </w:numPr>
      </w:pPr>
      <w:r>
        <w:t xml:space="preserve">Hvilke standardklausuler finnes i kjedenes leiekontrakter om eksklusivitet, opptrinnsrett, fremleieforbud, assignment, opsjoner og forlengelse?</w:t>
      </w:r>
    </w:p>
    <w:p>
      <w:pPr>
        <w:pStyle w:val="Compact"/>
        <w:numPr>
          <w:ilvl w:val="0"/>
          <w:numId w:val="1002"/>
        </w:numPr>
      </w:pPr>
      <w:r>
        <w:t xml:space="preserve">Hvordan fastsettes intern husleie mellom driftsledd og eiendomsledd: markedsleie, avkastningskrav, kost-pluss eller strategisk konsernmodell?</w:t>
      </w:r>
    </w:p>
    <w:p>
      <w:pPr>
        <w:pStyle w:val="Compact"/>
        <w:numPr>
          <w:ilvl w:val="0"/>
          <w:numId w:val="1002"/>
        </w:numPr>
      </w:pPr>
      <w:r>
        <w:t xml:space="preserve">Hvor mange tidligere eller nåværende servitutter og eksklusivitetsklausuler er fortsatt i kraft lokalt, og hvor mange er slettet etter 1. januar 2024?</w:t>
      </w:r>
    </w:p>
    <w:p>
      <w:pPr>
        <w:pStyle w:val="Compact"/>
        <w:numPr>
          <w:ilvl w:val="0"/>
          <w:numId w:val="1002"/>
        </w:numPr>
      </w:pPr>
      <w:r>
        <w:t xml:space="preserve">Hvilke konkrete lokaliteter har utfordrere eller rivaler tapt fordi en etablert gruppering, et tilknyttet fond eller et nærstående selskap kontrollerte tomt, bygg eller leierett?</w:t>
      </w:r>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[11]</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[36]</w:t>
        </w:r>
      </w:hyperlink>
      <w:r>
        <w:t xml:space="preserve"> </w:t>
      </w:r>
      <w:r>
        <w:t xml:space="preserve">https://konkurransetilsynet.no/wp-content/uploads/2022/12/Konkurransetilsynets-dagligvarerapport-2022.pdf</w:t>
      </w:r>
    </w:p>
    <w:p>
      <w:pPr>
        <w:pStyle w:val="BodyText"/>
      </w:pPr>
      <w:hyperlink r:id="rId21">
        <w:r>
          <w:rPr>
            <w:rStyle w:val="Hyperlink"/>
          </w:rPr>
          <w:t xml:space="preserve">https://konkurransetilsynet.no/wp-content/uploads/2022/12/Konkurransetilsynets-dagligvarerapport-2022.pdf</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[19]</w:t>
        </w:r>
      </w:hyperlink>
      <w:r>
        <w:t xml:space="preserve"> </w:t>
      </w:r>
      <w:hyperlink r:id="rId22">
        <w:r>
          <w:rPr>
            <w:rStyle w:val="Hyperlink"/>
          </w:rPr>
          <w:t xml:space="preserve">[25]</w:t>
        </w:r>
      </w:hyperlink>
      <w:r>
        <w:t xml:space="preserve"> </w:t>
      </w:r>
      <w:hyperlink r:id="rId22">
        <w:r>
          <w:rPr>
            <w:rStyle w:val="Hyperlink"/>
          </w:rPr>
          <w:t xml:space="preserve">[27]</w:t>
        </w:r>
      </w:hyperlink>
      <w:r>
        <w:t xml:space="preserve"> </w:t>
      </w:r>
      <w:hyperlink r:id="rId22">
        <w:r>
          <w:rPr>
            <w:rStyle w:val="Hyperlink"/>
          </w:rPr>
          <w:t xml:space="preserve">[28]</w:t>
        </w:r>
      </w:hyperlink>
      <w:r>
        <w:t xml:space="preserve"> </w:t>
      </w:r>
      <w:hyperlink r:id="rId22">
        <w:r>
          <w:rPr>
            <w:rStyle w:val="Hyperlink"/>
          </w:rPr>
          <w:t xml:space="preserve">[38]</w:t>
        </w:r>
      </w:hyperlink>
      <w:r>
        <w:t xml:space="preserve"> </w:t>
      </w:r>
      <w:r>
        <w:t xml:space="preserve">https://www.norgesgruppen.no/globalassets/finansiell-informasjon/lan/sertifikatlan/registreringsdokument--no0013462705-norgesgruppen---02.06.2025.pdf</w:t>
      </w:r>
    </w:p>
    <w:p>
      <w:pPr>
        <w:pStyle w:val="BodyText"/>
      </w:pPr>
      <w:hyperlink r:id="rId22">
        <w:r>
          <w:rPr>
            <w:rStyle w:val="Hyperlink"/>
          </w:rPr>
          <w:t xml:space="preserve">https://www.norgesgruppen.no/globalassets/finansiell-informasjon/lan/sertifikatlan/registreringsdokument--no0013462705-norgesgruppen---02.06.2025.pdf</w:t>
        </w:r>
      </w:hyperlink>
    </w:p>
    <w:p>
      <w:pPr>
        <w:pStyle w:val="BodyText"/>
      </w:pPr>
      <w:hyperlink r:id="rId23">
        <w:r>
          <w:rPr>
            <w:rStyle w:val="Hyperlink"/>
          </w:rPr>
          <w:t xml:space="preserve">[3]</w:t>
        </w:r>
      </w:hyperlink>
      <w:r>
        <w:t xml:space="preserve"> </w:t>
      </w:r>
      <w:r>
        <w:t xml:space="preserve">https://konkurransetilsynet.no/wp-content/uploads/2025/04/Konkurransetilsynets-Dagligvarerapport-2024-25.pdf</w:t>
      </w:r>
    </w:p>
    <w:p>
      <w:pPr>
        <w:pStyle w:val="BodyText"/>
      </w:pPr>
      <w:hyperlink r:id="rId23">
        <w:r>
          <w:rPr>
            <w:rStyle w:val="Hyperlink"/>
          </w:rPr>
          <w:t xml:space="preserve">https://konkurransetilsynet.no/wp-content/uploads/2025/04/Konkurransetilsynets-Dagligvarerapport-2024-25.pdf</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[9]</w:t>
        </w:r>
      </w:hyperlink>
      <w:r>
        <w:t xml:space="preserve"> </w:t>
      </w:r>
      <w:hyperlink r:id="rId24">
        <w:r>
          <w:rPr>
            <w:rStyle w:val="Hyperlink"/>
          </w:rPr>
          <w:t xml:space="preserve">[20]</w:t>
        </w:r>
      </w:hyperlink>
      <w:r>
        <w:t xml:space="preserve"> </w:t>
      </w:r>
      <w:hyperlink r:id="rId24">
        <w:r>
          <w:rPr>
            <w:rStyle w:val="Hyperlink"/>
          </w:rPr>
          <w:t xml:space="preserve">[21]</w:t>
        </w:r>
      </w:hyperlink>
      <w:r>
        <w:t xml:space="preserve"> </w:t>
      </w:r>
      <w:hyperlink r:id="rId24">
        <w:r>
          <w:rPr>
            <w:rStyle w:val="Hyperlink"/>
          </w:rPr>
          <w:t xml:space="preserve">[31]</w:t>
        </w:r>
      </w:hyperlink>
      <w:r>
        <w:t xml:space="preserve"> </w:t>
      </w:r>
      <w:hyperlink r:id="rId24">
        <w:r>
          <w:rPr>
            <w:rStyle w:val="Hyperlink"/>
          </w:rPr>
          <w:t xml:space="preserve">[33]</w:t>
        </w:r>
      </w:hyperlink>
      <w:r>
        <w:t xml:space="preserve"> </w:t>
      </w:r>
      <w:hyperlink r:id="rId24">
        <w:r>
          <w:rPr>
            <w:rStyle w:val="Hyperlink"/>
          </w:rPr>
          <w:t xml:space="preserve">[34]</w:t>
        </w:r>
      </w:hyperlink>
      <w:r>
        <w:t xml:space="preserve"> </w:t>
      </w:r>
      <w:hyperlink r:id="rId24">
        <w:r>
          <w:rPr>
            <w:rStyle w:val="Hyperlink"/>
          </w:rPr>
          <w:t xml:space="preserve">[37]</w:t>
        </w:r>
      </w:hyperlink>
      <w:r>
        <w:t xml:space="preserve"> </w:t>
      </w:r>
      <w:r>
        <w:t xml:space="preserve">https://www.regjeringen.no/no/dokumenter/meld.-st.-27-20192020/id2714670/?ch=2</w:t>
      </w:r>
    </w:p>
    <w:p>
      <w:pPr>
        <w:pStyle w:val="BodyText"/>
      </w:pPr>
      <w:hyperlink r:id="rId24">
        <w:r>
          <w:rPr>
            <w:rStyle w:val="Hyperlink"/>
          </w:rPr>
          <w:t xml:space="preserve">https://www.regjeringen.no/no/dokumenter/meld.-st.-27-20192020/id2714670/?ch=2</w:t>
        </w:r>
      </w:hyperlink>
    </w:p>
    <w:p>
      <w:pPr>
        <w:pStyle w:val="BodyText"/>
      </w:pPr>
      <w:hyperlink r:id="rId26">
        <w:r>
          <w:rPr>
            <w:rStyle w:val="Hyperlink"/>
          </w:rPr>
          <w:t xml:space="preserve">[7]</w:t>
        </w:r>
      </w:hyperlink>
      <w:r>
        <w:t xml:space="preserve"> </w:t>
      </w:r>
      <w:hyperlink r:id="rId26">
        <w:r>
          <w:rPr>
            <w:rStyle w:val="Hyperlink"/>
          </w:rPr>
          <w:t xml:space="preserve">[32]</w:t>
        </w:r>
      </w:hyperlink>
      <w:r>
        <w:t xml:space="preserve"> </w:t>
      </w:r>
      <w:r>
        <w:t xml:space="preserve">https://www.oecd.org/content/dam/oecd/en/publications/reports/2008/11/land-use-restrictions-as-barriers-to-entry_737d86fd/2650a0c1-en.pdf</w:t>
      </w:r>
    </w:p>
    <w:p>
      <w:pPr>
        <w:pStyle w:val="BodyText"/>
      </w:pPr>
      <w:hyperlink r:id="rId26">
        <w:r>
          <w:rPr>
            <w:rStyle w:val="Hyperlink"/>
          </w:rPr>
          <w:t xml:space="preserve">https://www.oecd.org/content/dam/oecd/en/publications/reports/2008/11/land-use-restrictions-as-barriers-to-entry_737d86fd/2650a0c1-en.pdf</w:t>
        </w:r>
      </w:hyperlink>
    </w:p>
    <w:p>
      <w:pPr>
        <w:pStyle w:val="BodyText"/>
      </w:pPr>
      <w:hyperlink r:id="rId27">
        <w:r>
          <w:rPr>
            <w:rStyle w:val="Hyperlink"/>
          </w:rPr>
          <w:t xml:space="preserve">[8]</w:t>
        </w:r>
      </w:hyperlink>
      <w:r>
        <w:t xml:space="preserve"> </w:t>
      </w:r>
      <w:hyperlink r:id="rId27">
        <w:r>
          <w:rPr>
            <w:rStyle w:val="Hyperlink"/>
          </w:rPr>
          <w:t xml:space="preserve">[14]</w:t>
        </w:r>
      </w:hyperlink>
      <w:r>
        <w:t xml:space="preserve"> </w:t>
      </w:r>
      <w:hyperlink r:id="rId27">
        <w:r>
          <w:rPr>
            <w:rStyle w:val="Hyperlink"/>
          </w:rPr>
          <w:t xml:space="preserve">[15]</w:t>
        </w:r>
      </w:hyperlink>
      <w:r>
        <w:t xml:space="preserve"> </w:t>
      </w:r>
      <w:hyperlink r:id="rId27">
        <w:r>
          <w:rPr>
            <w:rStyle w:val="Hyperlink"/>
          </w:rPr>
          <w:t xml:space="preserve">[18]</w:t>
        </w:r>
      </w:hyperlink>
      <w:r>
        <w:t xml:space="preserve"> </w:t>
      </w:r>
      <w:r>
        <w:t xml:space="preserve">https://2024.reitaneiendom.no/dette-er-reitan-eiendom</w:t>
      </w:r>
    </w:p>
    <w:p>
      <w:pPr>
        <w:pStyle w:val="BodyText"/>
      </w:pPr>
      <w:hyperlink r:id="rId27">
        <w:r>
          <w:rPr>
            <w:rStyle w:val="Hyperlink"/>
          </w:rPr>
          <w:t xml:space="preserve">https://2024.reitaneiendom.no/dette-er-reitan-eiendom</w:t>
        </w:r>
      </w:hyperlink>
    </w:p>
    <w:p>
      <w:pPr>
        <w:pStyle w:val="BodyText"/>
      </w:pPr>
      <w:hyperlink r:id="rId28">
        <w:r>
          <w:rPr>
            <w:rStyle w:val="Hyperlink"/>
          </w:rPr>
          <w:t xml:space="preserve">[10]</w:t>
        </w:r>
      </w:hyperlink>
      <w:r>
        <w:t xml:space="preserve"> </w:t>
      </w:r>
      <w:r>
        <w:t xml:space="preserve">https://www.norgesgruppen.no/om-oss/norgesgruppen-eiendom/</w:t>
      </w:r>
    </w:p>
    <w:p>
      <w:pPr>
        <w:pStyle w:val="BodyText"/>
      </w:pPr>
      <w:hyperlink r:id="rId28">
        <w:r>
          <w:rPr>
            <w:rStyle w:val="Hyperlink"/>
          </w:rPr>
          <w:t xml:space="preserve">https://www.norgesgruppen.no/om-oss/norgesgruppen-eiendom/</w:t>
        </w:r>
      </w:hyperlink>
    </w:p>
    <w:p>
      <w:pPr>
        <w:pStyle w:val="BodyText"/>
      </w:pPr>
      <w:hyperlink r:id="rId29">
        <w:r>
          <w:rPr>
            <w:rStyle w:val="Hyperlink"/>
          </w:rPr>
          <w:t xml:space="preserve">[12]</w:t>
        </w:r>
      </w:hyperlink>
      <w:r>
        <w:t xml:space="preserve"> </w:t>
      </w:r>
      <w:r>
        <w:t xml:space="preserve">https://www.coop.no/om-coop/virksomheten/arsrapport</w:t>
      </w:r>
    </w:p>
    <w:p>
      <w:pPr>
        <w:pStyle w:val="BodyText"/>
      </w:pPr>
      <w:hyperlink r:id="rId29">
        <w:r>
          <w:rPr>
            <w:rStyle w:val="Hyperlink"/>
          </w:rPr>
          <w:t xml:space="preserve">https://www.coop.no/om-coop/virksomheten/arsrapport</w:t>
        </w:r>
      </w:hyperlink>
    </w:p>
    <w:p>
      <w:pPr>
        <w:pStyle w:val="BodyText"/>
      </w:pPr>
      <w:hyperlink r:id="rId30">
        <w:r>
          <w:rPr>
            <w:rStyle w:val="Hyperlink"/>
          </w:rPr>
          <w:t xml:space="preserve">[13]</w:t>
        </w:r>
      </w:hyperlink>
      <w:r>
        <w:t xml:space="preserve"> </w:t>
      </w:r>
      <w:hyperlink r:id="rId30">
        <w:r>
          <w:rPr>
            <w:rStyle w:val="Hyperlink"/>
          </w:rPr>
          <w:t xml:space="preserve">[30]</w:t>
        </w:r>
      </w:hyperlink>
      <w:r>
        <w:t xml:space="preserve"> </w:t>
      </w:r>
      <w:r>
        <w:t xml:space="preserve">https://en.kfst.dk/media/51101/fremtidens-detailhandel.pdf</w:t>
      </w:r>
    </w:p>
    <w:p>
      <w:pPr>
        <w:pStyle w:val="BodyText"/>
      </w:pPr>
      <w:hyperlink r:id="rId30">
        <w:r>
          <w:rPr>
            <w:rStyle w:val="Hyperlink"/>
          </w:rPr>
          <w:t xml:space="preserve">https://en.kfst.dk/media/51101/fremtidens-detailhandel.pdf</w:t>
        </w:r>
      </w:hyperlink>
    </w:p>
    <w:p>
      <w:pPr>
        <w:pStyle w:val="BodyText"/>
      </w:pPr>
      <w:hyperlink r:id="rId32">
        <w:r>
          <w:rPr>
            <w:rStyle w:val="Hyperlink"/>
          </w:rPr>
          <w:t xml:space="preserve">[17]</w:t>
        </w:r>
      </w:hyperlink>
      <w:r>
        <w:t xml:space="preserve"> </w:t>
      </w:r>
      <w:r>
        <w:t xml:space="preserve">https://assets.eu.ctfassets.net/69zmfo9ko3qk/2qp6JJiGxLiAfdMViZKx18/841d9eafb0372669a824f053983936f2/%C3%85rsrapport_-_Coop_-_24_-_Digital_Pages_justert_27062025.pdf</w:t>
      </w:r>
    </w:p>
    <w:p>
      <w:pPr>
        <w:pStyle w:val="BodyText"/>
      </w:pPr>
      <w:hyperlink r:id="rId32">
        <w:r>
          <w:rPr>
            <w:rStyle w:val="Hyperlink"/>
          </w:rPr>
          <w:t xml:space="preserve">https://assets.eu.ctfassets.net/69zmfo9ko3qk/2qp6JJiGxLiAfdMViZKx18/841d9eafb0372669a824f053983936f2/%C3%85rsrapport_-_Coop_-_24_-_Digital_Pages_justert_27062025.pdf</w:t>
        </w:r>
      </w:hyperlink>
    </w:p>
    <w:p>
      <w:pPr>
        <w:pStyle w:val="BodyText"/>
      </w:pPr>
      <w:hyperlink r:id="rId34">
        <w:r>
          <w:rPr>
            <w:rStyle w:val="Hyperlink"/>
          </w:rPr>
          <w:t xml:space="preserve">[22]</w:t>
        </w:r>
      </w:hyperlink>
      <w:r>
        <w:t xml:space="preserve"> </w:t>
      </w:r>
      <w:hyperlink r:id="rId34">
        <w:r>
          <w:rPr>
            <w:rStyle w:val="Hyperlink"/>
          </w:rPr>
          <w:t xml:space="preserve">[40]</w:t>
        </w:r>
      </w:hyperlink>
      <w:r>
        <w:t xml:space="preserve"> </w:t>
      </w:r>
      <w:r>
        <w:t xml:space="preserve">https://www.regjeringen.no/no/aktuelt/forbyr-praksis-som-motvirker-konkurranse-i-dagligvaremarkedet/id2985486/</w:t>
      </w:r>
    </w:p>
    <w:p>
      <w:pPr>
        <w:pStyle w:val="BodyText"/>
      </w:pPr>
      <w:hyperlink r:id="rId34">
        <w:r>
          <w:rPr>
            <w:rStyle w:val="Hyperlink"/>
          </w:rPr>
          <w:t xml:space="preserve">https://www.regjeringen.no/no/aktuelt/forbyr-praksis-som-motvirker-konkurranse-i-dagligvaremarkedet/id2985486/</w:t>
        </w:r>
      </w:hyperlink>
    </w:p>
    <w:p>
      <w:pPr>
        <w:pStyle w:val="BodyText"/>
      </w:pPr>
      <w:hyperlink r:id="rId36">
        <w:r>
          <w:rPr>
            <w:rStyle w:val="Hyperlink"/>
          </w:rPr>
          <w:t xml:space="preserve">[26]</w:t>
        </w:r>
      </w:hyperlink>
      <w:r>
        <w:t xml:space="preserve"> </w:t>
      </w:r>
      <w:r>
        <w:t xml:space="preserve">https://www.konkurrensverket.se/globalassets/dokument/informationsmaterial/rapporter-och-broschyrer/rapportserie/rapport_2024-5_summary.pdf</w:t>
      </w:r>
    </w:p>
    <w:p>
      <w:pPr>
        <w:pStyle w:val="BodyText"/>
      </w:pPr>
      <w:hyperlink r:id="rId36">
        <w:r>
          <w:rPr>
            <w:rStyle w:val="Hyperlink"/>
          </w:rPr>
          <w:t xml:space="preserve">https://www.konkurrensverket.se/globalassets/dokument/informationsmaterial/rapporter-och-broschyrer/rapportserie/rapport_2024-5_summary.pdf</w:t>
        </w:r>
      </w:hyperlink>
    </w:p>
    <w:p>
      <w:pPr>
        <w:pStyle w:val="BodyText"/>
      </w:pPr>
      <w:hyperlink r:id="rId37">
        <w:r>
          <w:rPr>
            <w:rStyle w:val="Hyperlink"/>
          </w:rPr>
          <w:t xml:space="preserve">[29]</w:t>
        </w:r>
      </w:hyperlink>
      <w:r>
        <w:t xml:space="preserve"> </w:t>
      </w:r>
      <w:hyperlink r:id="rId37">
        <w:r>
          <w:rPr>
            <w:rStyle w:val="Hyperlink"/>
          </w:rPr>
          <w:t xml:space="preserve">[35]</w:t>
        </w:r>
      </w:hyperlink>
      <w:r>
        <w:t xml:space="preserve"> </w:t>
      </w:r>
      <w:r>
        <w:t xml:space="preserve">https://e24.no/naeringsliv/i/Jo2397/coop-frykter-at-de-vil-miste-butikklokaler-til-norgesgruppen</w:t>
      </w:r>
    </w:p>
    <w:p>
      <w:pPr>
        <w:pStyle w:val="BodyText"/>
      </w:pPr>
      <w:hyperlink r:id="rId37">
        <w:r>
          <w:rPr>
            <w:rStyle w:val="Hyperlink"/>
          </w:rPr>
          <w:t xml:space="preserve">https://e24.no/naeringsliv/i/Jo2397/coop-frykter-at-de-vil-miste-butikklokaler-til-norgesgruppen</w:t>
        </w:r>
      </w:hyperlink>
    </w:p>
    <w:p>
      <w:pPr>
        <w:pStyle w:val="BodyText"/>
      </w:pPr>
      <w:hyperlink r:id="rId39">
        <w:r>
          <w:rPr>
            <w:rStyle w:val="Hyperlink"/>
          </w:rPr>
          <w:t xml:space="preserve">[39]</w:t>
        </w:r>
      </w:hyperlink>
      <w:r>
        <w:t xml:space="preserve"> </w:t>
      </w:r>
      <w:r>
        <w:t xml:space="preserve">https://www.estatenyheter.no/aktuelt/coop-selger-stort-til-union/199604</w:t>
      </w:r>
    </w:p>
    <w:p>
      <w:pPr>
        <w:pStyle w:val="BodyText"/>
      </w:pPr>
      <w:hyperlink r:id="rId39">
        <w:r>
          <w:rPr>
            <w:rStyle w:val="Hyperlink"/>
          </w:rPr>
          <w:t xml:space="preserve">https://www.estatenyheter.no/aktuelt/coop-selger-stort-til-union/199604</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2024.reitaneiendom.no/dette-er-reitan-eiendom" TargetMode="External" /><Relationship Type="http://schemas.openxmlformats.org/officeDocument/2006/relationships/hyperlink" Id="rId32" Target="https://assets.eu.ctfassets.net/69zmfo9ko3qk/2qp6JJiGxLiAfdMViZKx18/841d9eafb0372669a824f053983936f2/%C3%85rsrapport_-_Coop_-_24_-_Digital_Pages_justert_27062025.pdf" TargetMode="External" /><Relationship Type="http://schemas.openxmlformats.org/officeDocument/2006/relationships/hyperlink" Id="rId37" Target="https://e24.no/naeringsliv/i/Jo2397/coop-frykter-at-de-vil-miste-butikklokaler-til-norgesgruppen" TargetMode="External" /><Relationship Type="http://schemas.openxmlformats.org/officeDocument/2006/relationships/hyperlink" Id="rId30" Target="https://en.kfst.dk/media/51101/fremtidens-detailhandel.pdf" TargetMode="External" /><Relationship Type="http://schemas.openxmlformats.org/officeDocument/2006/relationships/hyperlink" Id="rId21" Target="https://konkurransetilsynet.no/wp-content/uploads/2022/12/Konkurransetilsynets-dagligvarerapport-2022.pdf" TargetMode="External" /><Relationship Type="http://schemas.openxmlformats.org/officeDocument/2006/relationships/hyperlink" Id="rId23" Target="https://konkurransetilsynet.no/wp-content/uploads/2025/04/Konkurransetilsynets-Dagligvarerapport-2024-25.pdf" TargetMode="External" /><Relationship Type="http://schemas.openxmlformats.org/officeDocument/2006/relationships/hyperlink" Id="rId29" Target="https://www.coop.no/om-coop/virksomheten/arsrapport" TargetMode="External" /><Relationship Type="http://schemas.openxmlformats.org/officeDocument/2006/relationships/hyperlink" Id="rId39" Target="https://www.estatenyheter.no/aktuelt/coop-selger-stort-til-union/199604" TargetMode="External" /><Relationship Type="http://schemas.openxmlformats.org/officeDocument/2006/relationships/hyperlink" Id="rId36" Target="https://www.konkurrensverket.se/globalassets/dokument/informationsmaterial/rapporter-och-broschyrer/rapportserie/rapport_2024-5_summary.pdf" TargetMode="External" /><Relationship Type="http://schemas.openxmlformats.org/officeDocument/2006/relationships/hyperlink" Id="rId22" Target="https://www.norgesgruppen.no/globalassets/finansiell-informasjon/lan/sertifikatlan/registreringsdokument--no0013462705-norgesgruppen---02.06.2025.pdf" TargetMode="External" /><Relationship Type="http://schemas.openxmlformats.org/officeDocument/2006/relationships/hyperlink" Id="rId28" Target="https://www.norgesgruppen.no/om-oss/norgesgruppen-eiendom/" TargetMode="External" /><Relationship Type="http://schemas.openxmlformats.org/officeDocument/2006/relationships/hyperlink" Id="rId26" Target="https://www.oecd.org/content/dam/oecd/en/publications/reports/2008/11/land-use-restrictions-as-barriers-to-entry_737d86fd/2650a0c1-en.pdf" TargetMode="External" /><Relationship Type="http://schemas.openxmlformats.org/officeDocument/2006/relationships/hyperlink" Id="rId34" Target="https://www.regjeringen.no/no/aktuelt/forbyr-praksis-som-motvirker-konkurranse-i-dagligvaremarkedet/id2985486/" TargetMode="External" /><Relationship Type="http://schemas.openxmlformats.org/officeDocument/2006/relationships/hyperlink" Id="rId24" Target="https://www.regjeringen.no/no/dokumenter/meld.-st.-27-20192020/id2714670/?ch=2" TargetMode="External" /></Relationships>
</file>

<file path=word/_rels/footnotes.xml.rels><?xml version="1.0" encoding="UTF-8"?><Relationships xmlns="http://schemas.openxmlformats.org/package/2006/relationships"><Relationship Type="http://schemas.openxmlformats.org/officeDocument/2006/relationships/hyperlink" Id="rId27" Target="https://2024.reitaneiendom.no/dette-er-reitan-eiendom" TargetMode="External" /><Relationship Type="http://schemas.openxmlformats.org/officeDocument/2006/relationships/hyperlink" Id="rId32" Target="https://assets.eu.ctfassets.net/69zmfo9ko3qk/2qp6JJiGxLiAfdMViZKx18/841d9eafb0372669a824f053983936f2/%C3%85rsrapport_-_Coop_-_24_-_Digital_Pages_justert_27062025.pdf" TargetMode="External" /><Relationship Type="http://schemas.openxmlformats.org/officeDocument/2006/relationships/hyperlink" Id="rId37" Target="https://e24.no/naeringsliv/i/Jo2397/coop-frykter-at-de-vil-miste-butikklokaler-til-norgesgruppen" TargetMode="External" /><Relationship Type="http://schemas.openxmlformats.org/officeDocument/2006/relationships/hyperlink" Id="rId30" Target="https://en.kfst.dk/media/51101/fremtidens-detailhandel.pdf" TargetMode="External" /><Relationship Type="http://schemas.openxmlformats.org/officeDocument/2006/relationships/hyperlink" Id="rId21" Target="https://konkurransetilsynet.no/wp-content/uploads/2022/12/Konkurransetilsynets-dagligvarerapport-2022.pdf" TargetMode="External" /><Relationship Type="http://schemas.openxmlformats.org/officeDocument/2006/relationships/hyperlink" Id="rId23" Target="https://konkurransetilsynet.no/wp-content/uploads/2025/04/Konkurransetilsynets-Dagligvarerapport-2024-25.pdf" TargetMode="External" /><Relationship Type="http://schemas.openxmlformats.org/officeDocument/2006/relationships/hyperlink" Id="rId29" Target="https://www.coop.no/om-coop/virksomheten/arsrapport" TargetMode="External" /><Relationship Type="http://schemas.openxmlformats.org/officeDocument/2006/relationships/hyperlink" Id="rId39" Target="https://www.estatenyheter.no/aktuelt/coop-selger-stort-til-union/199604" TargetMode="External" /><Relationship Type="http://schemas.openxmlformats.org/officeDocument/2006/relationships/hyperlink" Id="rId36" Target="https://www.konkurrensverket.se/globalassets/dokument/informationsmaterial/rapporter-och-broschyrer/rapportserie/rapport_2024-5_summary.pdf" TargetMode="External" /><Relationship Type="http://schemas.openxmlformats.org/officeDocument/2006/relationships/hyperlink" Id="rId22" Target="https://www.norgesgruppen.no/globalassets/finansiell-informasjon/lan/sertifikatlan/registreringsdokument--no0013462705-norgesgruppen---02.06.2025.pdf" TargetMode="External" /><Relationship Type="http://schemas.openxmlformats.org/officeDocument/2006/relationships/hyperlink" Id="rId28" Target="https://www.norgesgruppen.no/om-oss/norgesgruppen-eiendom/" TargetMode="External" /><Relationship Type="http://schemas.openxmlformats.org/officeDocument/2006/relationships/hyperlink" Id="rId26" Target="https://www.oecd.org/content/dam/oecd/en/publications/reports/2008/11/land-use-restrictions-as-barriers-to-entry_737d86fd/2650a0c1-en.pdf" TargetMode="External" /><Relationship Type="http://schemas.openxmlformats.org/officeDocument/2006/relationships/hyperlink" Id="rId34" Target="https://www.regjeringen.no/no/aktuelt/forbyr-praksis-som-motvirker-konkurranse-i-dagligvaremarkedet/id2985486/" TargetMode="External" /><Relationship Type="http://schemas.openxmlformats.org/officeDocument/2006/relationships/hyperlink" Id="rId24" Target="https://www.regjeringen.no/no/dokumenter/meld.-st.-27-20192020/id2714670/?ch=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2026-04-20T05:58:23Z</dcterms:created>
  <dcterms:modified xsi:type="dcterms:W3CDTF">2026-04-20T05:58:23Z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