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8" w:name="content"/>
    <w:bookmarkStart w:id="57" w:name="Xda81de3000927504fc29c573092475e953d2ee1"/>
    <w:p>
      <w:pPr>
        <w:pStyle w:val="Heading1"/>
      </w:pPr>
      <w:r>
        <w:t xml:space="preserve">Framstillinger av mat, makt og beredskap i norsk offentlighet</w:t>
      </w:r>
    </w:p>
    <w:bookmarkStart w:id="24" w:name="executive-summary"/>
    <w:p>
      <w:pPr>
        <w:pStyle w:val="Heading2"/>
      </w:pPr>
      <w:r>
        <w:t xml:space="preserve">Executive summary</w:t>
      </w:r>
    </w:p>
    <w:p>
      <w:pPr>
        <w:pStyle w:val="FirstParagraph"/>
      </w:pPr>
      <w:r>
        <w:t xml:space="preserve">I norsk offentlighet mellom 2020 og 2026 samler debatten om matsystemet seg rundt to sterke tyngdepunkter. Det første er</w:t>
      </w:r>
      <w:r>
        <w:t xml:space="preserve"> </w:t>
      </w:r>
      <w:r>
        <w:rPr>
          <w:b/>
          <w:bCs/>
        </w:rPr>
        <w:t xml:space="preserve">mat som beredskapsspørsmål</w:t>
      </w:r>
      <w:r>
        <w:t xml:space="preserve">: pandemien i 2020, Russlands fullskala invasjon av Ukraina i 2022, Riksrevisjonens kritikk i 2023 og nye beredskapstiltak i 2024–2026 gjorde matsikkerhet, selvforsyning og kornlagring til et høyt prioritert politisk tema. Det andre er</w:t>
      </w:r>
      <w:r>
        <w:t xml:space="preserve"> </w:t>
      </w:r>
      <w:r>
        <w:rPr>
          <w:b/>
          <w:bCs/>
        </w:rPr>
        <w:t xml:space="preserve">mat som kjøpekrafts- og konkurransespørsmål</w:t>
      </w:r>
      <w:r>
        <w:t xml:space="preserve">: vedvarende høy prisvekst på mat, sterk konsentrasjon i dagligvaremarkedet og voksende misnøye med bonusordninger, EMV-er og lite prisgjennomsiktighet gjorde matpriser og dagligvaremakt til et av de mest stabile medienarrativene fra 2023 og utover.</w:t>
      </w:r>
      <w:r>
        <w:t xml:space="preserve"> </w:t>
      </w:r>
      <w:hyperlink r:id="rId21">
        <w:r>
          <w:rPr>
            <w:rStyle w:val="Hyperlink"/>
          </w:rPr>
          <w:t xml:space="preserve">[1]</w:t>
        </w:r>
      </w:hyperlink>
    </w:p>
    <w:p>
      <w:pPr>
        <w:pStyle w:val="BodyText"/>
      </w:pPr>
      <w:r>
        <w:t xml:space="preserve">Partipolitisk er det bred enighet om at matsikkerhet, jordvern og beredskap er blitt viktigere, men tydelig konflikt om virkemidlene. Regjeringsnære og landbruksorienterte partier forsvarer i hovedsak importvern, inntektsløft og nasjonal produksjon som beredskapspolitikk, mens markedsorienterte partier vektlegger mer konkurranse, større åpenhet i verdikjeden, selektive grep i importvernet og i noen tilfeller lavere matmoms. På venstresiden kobles dagligvaremakt til bredere spørsmål om konsentrasjon, eierskap og fordeling. Ekspertmiljøene er mer nøkterne enn både tabloide og partipolitiske framstillinger: de peker samtidig på reell markedskonsentrasjon, på at prisdannelsen er flerkildebestemt, på at selvforsyning er et metodisk omstridt mål, og på at lokal distribusjon, husholdningenes matsikkerhet og sirkularitet utover matsvinn er systematisk underbelyst.</w:t>
      </w:r>
      <w:r>
        <w:t xml:space="preserve"> </w:t>
      </w:r>
      <w:hyperlink r:id="rId22">
        <w:r>
          <w:rPr>
            <w:rStyle w:val="Hyperlink"/>
          </w:rPr>
          <w:t xml:space="preserve">[2]</w:t>
        </w:r>
      </w:hyperlink>
    </w:p>
    <w:p>
      <w:pPr>
        <w:pStyle w:val="BodyText"/>
      </w:pPr>
      <w:r>
        <w:t xml:space="preserve">Det viktigste analytiske funnet er derfor ikke bare</w:t>
      </w:r>
      <w:r>
        <w:t xml:space="preserve"> </w:t>
      </w:r>
      <w:r>
        <w:rPr>
          <w:i/>
          <w:iCs/>
        </w:rPr>
        <w:t xml:space="preserve">hva</w:t>
      </w:r>
      <w:r>
        <w:t xml:space="preserve"> </w:t>
      </w:r>
      <w:r>
        <w:t xml:space="preserve">som diskuteres, men</w:t>
      </w:r>
      <w:r>
        <w:t xml:space="preserve"> </w:t>
      </w:r>
      <w:r>
        <w:rPr>
          <w:i/>
          <w:iCs/>
        </w:rPr>
        <w:t xml:space="preserve">hva som forsvinner ut av samtalen</w:t>
      </w:r>
      <w:r>
        <w:t xml:space="preserve">. Norsk mediedebatt er sterk på pris, beredskap og symbolpolitikk; svakere på matsystemets helhet, lokal distribusjon i krise, fattigdom og tilgang, og sirkularitet som mer enn matkastelov. For et whitepaper eller en roadmap betyr det at det mest virkningsfulle grepet ikke er å gjenta “dyr mat” eller “økt selvforsyning”, men å bygge en bredere fortelling om</w:t>
      </w:r>
      <w:r>
        <w:t xml:space="preserve"> </w:t>
      </w:r>
      <w:r>
        <w:rPr>
          <w:b/>
          <w:bCs/>
        </w:rPr>
        <w:t xml:space="preserve">trygg, rettferdig og robust matforsyning</w:t>
      </w:r>
      <w:r>
        <w:t xml:space="preserve">: fra jord og hav til lager, butikk, husholdning og avfallshåndtering.</w:t>
      </w:r>
      <w:r>
        <w:t xml:space="preserve"> </w:t>
      </w:r>
      <w:hyperlink r:id="rId23">
        <w:r>
          <w:rPr>
            <w:rStyle w:val="Hyperlink"/>
          </w:rPr>
          <w:t xml:space="preserve">[3]</w:t>
        </w:r>
      </w:hyperlink>
    </w:p>
    <w:bookmarkEnd w:id="24"/>
    <w:bookmarkStart w:id="28" w:name="metode-og-avgrensning"/>
    <w:p>
      <w:pPr>
        <w:pStyle w:val="Heading2"/>
      </w:pPr>
      <w:r>
        <w:t xml:space="preserve">Metode og avgrensning</w:t>
      </w:r>
    </w:p>
    <w:p>
      <w:pPr>
        <w:pStyle w:val="FirstParagraph"/>
      </w:pPr>
      <w:r>
        <w:t xml:space="preserve">Rapporten bygger på et kvalitativt, kildedrevet utvalg av primærkilder fra riksmedier som NRK</w:t>
      </w:r>
      <w:hyperlink r:id="rId21">
        <w:r>
          <w:rPr>
            <w:rStyle w:val="Hyperlink"/>
          </w:rPr>
          <w:t xml:space="preserve">[4]</w:t>
        </w:r>
      </w:hyperlink>
      <w:r>
        <w:t xml:space="preserve">, Aftenposten</w:t>
      </w:r>
      <w:hyperlink r:id="rId25">
        <w:r>
          <w:rPr>
            <w:rStyle w:val="Hyperlink"/>
          </w:rPr>
          <w:t xml:space="preserve">[5]</w:t>
        </w:r>
      </w:hyperlink>
      <w:r>
        <w:t xml:space="preserve"> </w:t>
      </w:r>
      <w:r>
        <w:t xml:space="preserve">og VG</w:t>
      </w:r>
      <w:hyperlink r:id="rId26">
        <w:r>
          <w:rPr>
            <w:rStyle w:val="Hyperlink"/>
          </w:rPr>
          <w:t xml:space="preserve">[6]</w:t>
        </w:r>
      </w:hyperlink>
      <w:r>
        <w:t xml:space="preserve">, samt dokumenter fra Stortinget</w:t>
      </w:r>
      <w:hyperlink r:id="rId27">
        <w:r>
          <w:rPr>
            <w:rStyle w:val="Hyperlink"/>
          </w:rPr>
          <w:t xml:space="preserve">[7]</w:t>
        </w:r>
      </w:hyperlink>
      <w:r>
        <w:t xml:space="preserve"> </w:t>
      </w:r>
      <w:r>
        <w:t xml:space="preserve">og Regjeringen</w:t>
      </w:r>
      <w:hyperlink r:id="rId26">
        <w:r>
          <w:rPr>
            <w:rStyle w:val="Hyperlink"/>
          </w:rPr>
          <w:t xml:space="preserve">[8]</w:t>
        </w:r>
      </w:hyperlink>
      <w:r>
        <w:t xml:space="preserve">, i tillegg til publikasjoner fra fag- og forvaltningsmiljøer. “Hyppighet” er vurdert kvalitativt, som publiseringsklynger og politiske/topikale topper, ikke som en full Retriever- eller Atekst-telling. Rapporten skiller systematisk mellom</w:t>
      </w:r>
      <w:r>
        <w:t xml:space="preserve"> </w:t>
      </w:r>
      <w:r>
        <w:rPr>
          <w:b/>
          <w:bCs/>
        </w:rPr>
        <w:t xml:space="preserve">medienarrativ</w:t>
      </w:r>
      <w:r>
        <w:t xml:space="preserve">,</w:t>
      </w:r>
      <w:r>
        <w:t xml:space="preserve"> </w:t>
      </w:r>
      <w:r>
        <w:rPr>
          <w:b/>
          <w:bCs/>
        </w:rPr>
        <w:t xml:space="preserve">politisk posisjon</w:t>
      </w:r>
      <w:r>
        <w:t xml:space="preserve"> </w:t>
      </w:r>
      <w:r>
        <w:t xml:space="preserve">og</w:t>
      </w:r>
      <w:r>
        <w:t xml:space="preserve"> </w:t>
      </w:r>
      <w:r>
        <w:rPr>
          <w:b/>
          <w:bCs/>
        </w:rPr>
        <w:t xml:space="preserve">ekspert-/fagmiljø-posisjon</w:t>
      </w:r>
      <w:r>
        <w:t xml:space="preserve">, fordi de tre sfærene bruker ulike problemdefinisjoner, ulik tone og ulike løsningsrepertoarer.</w:t>
      </w:r>
      <w:r>
        <w:t xml:space="preserve"> </w:t>
      </w:r>
      <w:hyperlink r:id="rId23">
        <w:r>
          <w:rPr>
            <w:rStyle w:val="Hyperlink"/>
          </w:rPr>
          <w:t xml:space="preserve">[9]</w:t>
        </w:r>
      </w:hyperlink>
    </w:p>
    <w:bookmarkEnd w:id="28"/>
    <w:bookmarkStart w:id="34" w:name="hva-som-dominerte-mediedekningen"/>
    <w:p>
      <w:pPr>
        <w:pStyle w:val="Heading2"/>
      </w:pPr>
      <w:r>
        <w:t xml:space="preserve">Hva som dominerte mediedekningen</w:t>
      </w:r>
    </w:p>
    <w:p>
      <w:pPr>
        <w:pStyle w:val="FirstParagraph"/>
      </w:pPr>
      <w:r>
        <w:t xml:space="preserve">Fra 2020 til 2026 går mediedekningen gjennom tre tydelige faser. Først en</w:t>
      </w:r>
      <w:r>
        <w:t xml:space="preserve"> </w:t>
      </w:r>
      <w:r>
        <w:rPr>
          <w:b/>
          <w:bCs/>
        </w:rPr>
        <w:t xml:space="preserve">kriseutløst beredskapsfase</w:t>
      </w:r>
      <w:r>
        <w:t xml:space="preserve"> </w:t>
      </w:r>
      <w:r>
        <w:t xml:space="preserve">i 2020, da pandemien aktualiserte kornlagre, importavhengighet og selvforsyning. Deretter en</w:t>
      </w:r>
      <w:r>
        <w:t xml:space="preserve"> </w:t>
      </w:r>
      <w:r>
        <w:rPr>
          <w:b/>
          <w:bCs/>
        </w:rPr>
        <w:t xml:space="preserve">sikkerhets- og inflasjonsfase</w:t>
      </w:r>
      <w:r>
        <w:t xml:space="preserve"> </w:t>
      </w:r>
      <w:r>
        <w:t xml:space="preserve">i 2022–2024, utløst av Ukraina-krigen, kraftig prisvekst på mat og Riksrevisjonens kritikk av matsikkerhetsberedskapen. Til slutt en</w:t>
      </w:r>
      <w:r>
        <w:t xml:space="preserve"> </w:t>
      </w:r>
      <w:r>
        <w:rPr>
          <w:b/>
          <w:bCs/>
        </w:rPr>
        <w:t xml:space="preserve">vedvarende dyrtids- og konkurransefase</w:t>
      </w:r>
      <w:r>
        <w:t xml:space="preserve"> </w:t>
      </w:r>
      <w:r>
        <w:t xml:space="preserve">i 2025–2026, der matprisene blir et fast innslag i økonomi- og politikksaker, og der bonusapper, prisinformasjon, åpenhet og dagligvaremakt får større plass enn tidligere. Som kvalitativ vurdering var oppmerksomheten moderat/høy i 2020, lavere i 2021, svært høy i 2022–2023, fortsatt høy i 2024, svært høy igjen i 2025 og høy også inn i 2026.</w:t>
      </w:r>
      <w:r>
        <w:t xml:space="preserve"> </w:t>
      </w:r>
      <w:hyperlink r:id="rId21">
        <w:r>
          <w:rPr>
            <w:rStyle w:val="Hyperlink"/>
          </w:rPr>
          <w:t xml:space="preserve">[10]</w:t>
        </w:r>
      </w:hyperlink>
    </w:p>
    <w:p>
      <w:pPr>
        <w:pStyle w:val="BodyText"/>
      </w:pPr>
      <w:r>
        <w:t xml:space="preserve">Det mest slående er at de brede medienarrativene i liten grad bruker ordet</w:t>
      </w:r>
      <w:r>
        <w:t xml:space="preserve"> </w:t>
      </w:r>
      <w:r>
        <w:rPr>
          <w:b/>
          <w:bCs/>
        </w:rPr>
        <w:t xml:space="preserve">matsystem</w:t>
      </w:r>
      <w:r>
        <w:t xml:space="preserve"> </w:t>
      </w:r>
      <w:r>
        <w:t xml:space="preserve">før 2024–2025. I stedet brytes temaet opp i mer salgbare og konfliktfokuserte enkeltsaker: “dyr handlekurv”, “matbaroner”, “selvforsyning”, “kornlager”, “matsvinn” og “bonusjakt”. Når helhetsbegrepet først kommer tydeligere inn, skjer det i stor grad via stortingsvedtak, fagmiljøer og partier som vil koble mat sammen med klima, folkehelse og natur. Det gjør at offentligheten lenge diskuterer symptomene hver for seg, før systemperspektivet får fotfeste.</w:t>
      </w:r>
      <w:r>
        <w:t xml:space="preserve"> </w:t>
      </w:r>
      <w:hyperlink r:id="rId23">
        <w:r>
          <w:rPr>
            <w:rStyle w:val="Hyperlink"/>
          </w:rPr>
          <w:t xml:space="preserve">[11]</w:t>
        </w:r>
      </w:hyperlink>
    </w:p>
    <w:p>
      <w:pPr>
        <w:pStyle w:val="BodyText"/>
      </w:pPr>
      <w:r>
        <w:t xml:space="preserve">Riksmediene er hovedsakelig</w:t>
      </w:r>
      <w:r>
        <w:t xml:space="preserve"> </w:t>
      </w:r>
      <w:r>
        <w:rPr>
          <w:b/>
          <w:bCs/>
        </w:rPr>
        <w:t xml:space="preserve">nasjonalt orientert</w:t>
      </w:r>
      <w:r>
        <w:t xml:space="preserve">: de ser saken fra forbrukerens, regjeringens og de store kjedenes ståsted. Det regionale og distriktsmessige ligger oftere under som konfliktlinje enn som hovedramme. Likevel er geografi ikke fraværende: dagligvaremarkedet har store regionale forskjeller, og partienes og fagmiljøenes argumentasjon om jordvern, lokal foredling, avstand, utmark, nordisk samarbeid og lokale forsyningskjeder trekker debatten ut av Oslo-perspektivet og inn i et regionalt beredskapsperspektiv.</w:t>
      </w:r>
      <w:r>
        <w:t xml:space="preserve"> </w:t>
      </w:r>
      <w:hyperlink r:id="rId29">
        <w:r>
          <w:rPr>
            <w:rStyle w:val="Hyperlink"/>
          </w:rPr>
          <w:t xml:space="preserve">[12]</w:t>
        </w:r>
      </w:hyperlink>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Medienarrativ</w:t>
            </w:r>
          </w:p>
        </w:tc>
        <w:tc>
          <w:tcPr/>
          <w:p>
            <w:pPr>
              <w:pStyle w:val="Compact"/>
            </w:pPr>
            <w:r>
              <w:t xml:space="preserve">Dominant tone</w:t>
            </w:r>
          </w:p>
        </w:tc>
        <w:tc>
          <w:tcPr/>
          <w:p>
            <w:pPr>
              <w:pStyle w:val="Compact"/>
            </w:pPr>
            <w:r>
              <w:t xml:space="preserve">Kvalitativ hyppighet</w:t>
            </w:r>
          </w:p>
        </w:tc>
        <w:tc>
          <w:tcPr/>
          <w:p>
            <w:pPr>
              <w:pStyle w:val="Compact"/>
            </w:pPr>
            <w:r>
              <w:t xml:space="preserve">Typiske aktører</w:t>
            </w:r>
          </w:p>
        </w:tc>
        <w:tc>
          <w:tcPr/>
          <w:p>
            <w:pPr>
              <w:pStyle w:val="Compact"/>
            </w:pPr>
            <w:r>
              <w:t xml:space="preserve">Geografisk fokus</w:t>
            </w:r>
          </w:p>
        </w:tc>
        <w:tc>
          <w:tcPr/>
          <w:p>
            <w:pPr>
              <w:pStyle w:val="Compact"/>
            </w:pPr>
            <w:r>
              <w:t xml:space="preserve">Frames/begreper som fester seg</w:t>
            </w:r>
          </w:p>
        </w:tc>
        <w:tc>
          <w:tcPr/>
          <w:p>
            <w:pPr>
              <w:pStyle w:val="Compact"/>
            </w:pPr>
            <w:r>
              <w:t xml:space="preserve">Kilder</w:t>
            </w:r>
          </w:p>
        </w:tc>
      </w:tr>
      <w:tr>
        <w:tc>
          <w:tcPr/>
          <w:p>
            <w:pPr>
              <w:pStyle w:val="Compact"/>
            </w:pPr>
            <w:r>
              <w:rPr>
                <w:b/>
                <w:bCs/>
              </w:rPr>
              <w:t xml:space="preserve">Dyrtid og handlekurv</w:t>
            </w:r>
          </w:p>
        </w:tc>
        <w:tc>
          <w:tcPr/>
          <w:p>
            <w:pPr>
              <w:pStyle w:val="Compact"/>
            </w:pPr>
            <w:r>
              <w:t xml:space="preserve">Alarmistisk og populistisk, med forbrukervinkel</w:t>
            </w:r>
          </w:p>
        </w:tc>
        <w:tc>
          <w:tcPr/>
          <w:p>
            <w:pPr>
              <w:pStyle w:val="Compact"/>
            </w:pPr>
            <w:r>
              <w:t xml:space="preserve">Svært høy fra 2023 og utover</w:t>
            </w:r>
          </w:p>
        </w:tc>
        <w:tc>
          <w:tcPr/>
          <w:p>
            <w:pPr>
              <w:pStyle w:val="Compact"/>
            </w:pPr>
            <w:r>
              <w:t xml:space="preserve">Riksmedier, forbrukere, regjering, opposisjon</w:t>
            </w:r>
          </w:p>
        </w:tc>
        <w:tc>
          <w:tcPr/>
          <w:p>
            <w:pPr>
              <w:pStyle w:val="Compact"/>
            </w:pPr>
            <w:r>
              <w:t xml:space="preserve">Nasjonalt</w:t>
            </w:r>
          </w:p>
        </w:tc>
        <w:tc>
          <w:tcPr/>
          <w:p>
            <w:pPr>
              <w:pStyle w:val="Compact"/>
            </w:pPr>
            <w:r>
              <w:t xml:space="preserve">“dyrtid”, “matpriser”, “bedre råd”, “handlekurven”</w:t>
            </w:r>
          </w:p>
        </w:tc>
        <w:tc>
          <w:tcPr/>
          <w:p>
            <w:pPr>
              <w:pStyle w:val="Compact"/>
            </w:pPr>
            <w:hyperlink r:id="rId30">
              <w:r>
                <w:rPr>
                  <w:rStyle w:val="Hyperlink"/>
                </w:rPr>
                <w:t xml:space="preserve">[13]</w:t>
              </w:r>
            </w:hyperlink>
          </w:p>
        </w:tc>
      </w:tr>
      <w:tr>
        <w:tc>
          <w:tcPr/>
          <w:p>
            <w:pPr>
              <w:pStyle w:val="Compact"/>
            </w:pPr>
            <w:r>
              <w:rPr>
                <w:b/>
                <w:bCs/>
              </w:rPr>
              <w:t xml:space="preserve">Dagligvaremakt og svak konkurranse</w:t>
            </w:r>
          </w:p>
        </w:tc>
        <w:tc>
          <w:tcPr/>
          <w:p>
            <w:pPr>
              <w:pStyle w:val="Compact"/>
            </w:pPr>
            <w:r>
              <w:t xml:space="preserve">Populistisk i mediene, teknokratisk i forvaltningen</w:t>
            </w:r>
          </w:p>
        </w:tc>
        <w:tc>
          <w:tcPr/>
          <w:p>
            <w:pPr>
              <w:pStyle w:val="Compact"/>
            </w:pPr>
            <w:r>
              <w:t xml:space="preserve">Høy fra 2022, særlig 2025–2026</w:t>
            </w:r>
          </w:p>
        </w:tc>
        <w:tc>
          <w:tcPr/>
          <w:p>
            <w:pPr>
              <w:pStyle w:val="Compact"/>
            </w:pPr>
            <w:r>
              <w:t xml:space="preserve">Politikere, konkurransemyndigheter, forbrukeraktører</w:t>
            </w:r>
          </w:p>
        </w:tc>
        <w:tc>
          <w:tcPr/>
          <w:p>
            <w:pPr>
              <w:pStyle w:val="Compact"/>
            </w:pPr>
            <w:r>
              <w:t xml:space="preserve">Nasjonalt, men med regionale markedsforskjeller</w:t>
            </w:r>
          </w:p>
        </w:tc>
        <w:tc>
          <w:tcPr/>
          <w:p>
            <w:pPr>
              <w:pStyle w:val="Compact"/>
            </w:pPr>
            <w:r>
              <w:t xml:space="preserve">“matbaroner”, “dagligvarebaroner”, “EMV”, “åpenhet”, “bonusapper”</w:t>
            </w:r>
          </w:p>
        </w:tc>
        <w:tc>
          <w:tcPr/>
          <w:p>
            <w:pPr>
              <w:pStyle w:val="Compact"/>
            </w:pPr>
            <w:hyperlink r:id="rId31">
              <w:r>
                <w:rPr>
                  <w:rStyle w:val="Hyperlink"/>
                </w:rPr>
                <w:t xml:space="preserve">[14]</w:t>
              </w:r>
            </w:hyperlink>
          </w:p>
        </w:tc>
      </w:tr>
      <w:tr>
        <w:tc>
          <w:tcPr/>
          <w:p>
            <w:pPr>
              <w:pStyle w:val="Compact"/>
            </w:pPr>
            <w:r>
              <w:rPr>
                <w:b/>
                <w:bCs/>
              </w:rPr>
              <w:t xml:space="preserve">Selvforsyning og matberedskap</w:t>
            </w:r>
          </w:p>
        </w:tc>
        <w:tc>
          <w:tcPr/>
          <w:p>
            <w:pPr>
              <w:pStyle w:val="Compact"/>
            </w:pPr>
            <w:r>
              <w:t xml:space="preserve">Alarmistisk i kriseøyeblikk, teknokratisk i oppfølgingen</w:t>
            </w:r>
          </w:p>
        </w:tc>
        <w:tc>
          <w:tcPr/>
          <w:p>
            <w:pPr>
              <w:pStyle w:val="Compact"/>
            </w:pPr>
            <w:r>
              <w:t xml:space="preserve">Topp i 2020, 2022, 2023–2024 og 2026</w:t>
            </w:r>
          </w:p>
        </w:tc>
        <w:tc>
          <w:tcPr/>
          <w:p>
            <w:pPr>
              <w:pStyle w:val="Compact"/>
            </w:pPr>
            <w:r>
              <w:t xml:space="preserve">Politikere, revisjons-/beredskapsmiljøer, landbruksaktører</w:t>
            </w:r>
          </w:p>
        </w:tc>
        <w:tc>
          <w:tcPr/>
          <w:p>
            <w:pPr>
              <w:pStyle w:val="Compact"/>
            </w:pPr>
            <w:r>
              <w:t xml:space="preserve">Nasjonalt, med sterk distrikts- og ressursgeografi</w:t>
            </w:r>
          </w:p>
        </w:tc>
        <w:tc>
          <w:tcPr/>
          <w:p>
            <w:pPr>
              <w:pStyle w:val="Compact"/>
            </w:pPr>
            <w:r>
              <w:t xml:space="preserve">“50 prosent”, “beredskapslager”, “mattrygghet”, “matsikkerhet”</w:t>
            </w:r>
          </w:p>
        </w:tc>
        <w:tc>
          <w:tcPr/>
          <w:p>
            <w:pPr>
              <w:pStyle w:val="Compact"/>
            </w:pPr>
            <w:hyperlink r:id="rId21">
              <w:r>
                <w:rPr>
                  <w:rStyle w:val="Hyperlink"/>
                </w:rPr>
                <w:t xml:space="preserve">[15]</w:t>
              </w:r>
            </w:hyperlink>
          </w:p>
        </w:tc>
      </w:tr>
      <w:tr>
        <w:tc>
          <w:tcPr/>
          <w:p>
            <w:pPr>
              <w:pStyle w:val="Compact"/>
            </w:pPr>
            <w:r>
              <w:rPr>
                <w:b/>
                <w:bCs/>
              </w:rPr>
              <w:t xml:space="preserve">Matsvinn som moral og regulering</w:t>
            </w:r>
          </w:p>
        </w:tc>
        <w:tc>
          <w:tcPr/>
          <w:p>
            <w:pPr>
              <w:pStyle w:val="Compact"/>
            </w:pPr>
            <w:r>
              <w:t xml:space="preserve">Løsningsorientert og moralsk</w:t>
            </w:r>
          </w:p>
        </w:tc>
        <w:tc>
          <w:tcPr/>
          <w:p>
            <w:pPr>
              <w:pStyle w:val="Compact"/>
            </w:pPr>
            <w:r>
              <w:t xml:space="preserve">Moderat, med tydelig topp i 2025</w:t>
            </w:r>
          </w:p>
        </w:tc>
        <w:tc>
          <w:tcPr/>
          <w:p>
            <w:pPr>
              <w:pStyle w:val="Compact"/>
            </w:pPr>
            <w:r>
              <w:t xml:space="preserve">Regjering, Storting, bransje, kommentariat</w:t>
            </w:r>
          </w:p>
        </w:tc>
        <w:tc>
          <w:tcPr/>
          <w:p>
            <w:pPr>
              <w:pStyle w:val="Compact"/>
            </w:pPr>
            <w:r>
              <w:t xml:space="preserve">Nasjonalt</w:t>
            </w:r>
          </w:p>
        </w:tc>
        <w:tc>
          <w:tcPr/>
          <w:p>
            <w:pPr>
              <w:pStyle w:val="Compact"/>
            </w:pPr>
            <w:r>
              <w:t xml:space="preserve">“matkastelov”, “god mat i magen”, “best før, ofte god etter”</w:t>
            </w:r>
          </w:p>
        </w:tc>
        <w:tc>
          <w:tcPr/>
          <w:p>
            <w:pPr>
              <w:pStyle w:val="Compact"/>
            </w:pPr>
            <w:hyperlink r:id="rId32">
              <w:r>
                <w:rPr>
                  <w:rStyle w:val="Hyperlink"/>
                </w:rPr>
                <w:t xml:space="preserve">[16]</w:t>
              </w:r>
            </w:hyperlink>
          </w:p>
        </w:tc>
      </w:tr>
      <w:tr>
        <w:tc>
          <w:tcPr/>
          <w:p>
            <w:pPr>
              <w:pStyle w:val="Compact"/>
            </w:pPr>
            <w:r>
              <w:rPr>
                <w:b/>
                <w:bCs/>
              </w:rPr>
              <w:t xml:space="preserve">Matsystem og sirkularitet</w:t>
            </w:r>
          </w:p>
        </w:tc>
        <w:tc>
          <w:tcPr/>
          <w:p>
            <w:pPr>
              <w:pStyle w:val="Compact"/>
            </w:pPr>
            <w:r>
              <w:t xml:space="preserve">Teknokratisk og løsningsorientert</w:t>
            </w:r>
          </w:p>
        </w:tc>
        <w:tc>
          <w:tcPr/>
          <w:p>
            <w:pPr>
              <w:pStyle w:val="Compact"/>
            </w:pPr>
            <w:r>
              <w:t xml:space="preserve">Lav til moderat; langt svakere enn pris- og beredskapsnarrativene</w:t>
            </w:r>
          </w:p>
        </w:tc>
        <w:tc>
          <w:tcPr/>
          <w:p>
            <w:pPr>
              <w:pStyle w:val="Compact"/>
            </w:pPr>
            <w:r>
              <w:t xml:space="preserve">Fagmiljøer, enkelte partier, departementer</w:t>
            </w:r>
          </w:p>
        </w:tc>
        <w:tc>
          <w:tcPr/>
          <w:p>
            <w:pPr>
              <w:pStyle w:val="Compact"/>
            </w:pPr>
            <w:r>
              <w:t xml:space="preserve">Nasjonalt, med kobling til lokale systemer</w:t>
            </w:r>
          </w:p>
        </w:tc>
        <w:tc>
          <w:tcPr/>
          <w:p>
            <w:pPr>
              <w:pStyle w:val="Compact"/>
            </w:pPr>
            <w:r>
              <w:t xml:space="preserve">“fremtidens matsystemer”, “én helse”, “plantebasert”, “sirkulær”</w:t>
            </w:r>
          </w:p>
        </w:tc>
        <w:tc>
          <w:tcPr/>
          <w:p>
            <w:pPr>
              <w:pStyle w:val="Compact"/>
            </w:pPr>
            <w:hyperlink r:id="rId33">
              <w:r>
                <w:rPr>
                  <w:rStyle w:val="Hyperlink"/>
                </w:rPr>
                <w:t xml:space="preserve">[17]</w:t>
              </w:r>
            </w:hyperlink>
          </w:p>
        </w:tc>
      </w:tr>
    </w:tbl>
    <w:bookmarkEnd w:id="34"/>
    <w:bookmarkStart w:id="46" w:name="politisk-posisjonering"/>
    <w:p>
      <w:pPr>
        <w:pStyle w:val="Heading2"/>
      </w:pPr>
      <w:r>
        <w:t xml:space="preserve">Politisk posisjonering</w:t>
      </w:r>
    </w:p>
    <w:p>
      <w:pPr>
        <w:pStyle w:val="FirstParagraph"/>
      </w:pPr>
      <w:r>
        <w:t xml:space="preserve">Den overordnede politiske utviklingen er at matsikkerhet går fra å være et sektorpolitisk landbrukstema til å bli eksplisitt behandlet som beredskapspolitikk. Samtidig splittes partiene tydeligere i synet på</w:t>
      </w:r>
      <w:r>
        <w:t xml:space="preserve"> </w:t>
      </w:r>
      <w:r>
        <w:rPr>
          <w:b/>
          <w:bCs/>
        </w:rPr>
        <w:t xml:space="preserve">hva som forklarer høye matpriser</w:t>
      </w:r>
      <w:r>
        <w:t xml:space="preserve">. Én blokk ser hovedsvaret i mer norsk produksjon, jordvern, tollvern og beredskapslagre. En annen ser hovedsvaret i bedre konkurranse, prisgjennomsiktighet og justering av reguleringer som hemmer nyetablering. Venstresiden og de grønne forsøker i tillegg å koble pris, makt, klima og kosthold i en bredere systemkritikk.</w:t>
      </w:r>
      <w:r>
        <w:t xml:space="preserve"> </w:t>
      </w:r>
      <w:hyperlink r:id="rId23">
        <w:r>
          <w:rPr>
            <w:rStyle w:val="Hyperlink"/>
          </w:rPr>
          <w:t xml:space="preserve">[18]</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Parti</w:t>
            </w:r>
          </w:p>
        </w:tc>
        <w:tc>
          <w:tcPr/>
          <w:p>
            <w:pPr>
              <w:pStyle w:val="Compact"/>
            </w:pPr>
            <w:r>
              <w:t xml:space="preserve">Kjerneposisjon</w:t>
            </w:r>
          </w:p>
        </w:tc>
        <w:tc>
          <w:tcPr/>
          <w:p>
            <w:pPr>
              <w:pStyle w:val="Compact"/>
            </w:pPr>
            <w:r>
              <w:t xml:space="preserve">Tone/frame</w:t>
            </w:r>
          </w:p>
        </w:tc>
        <w:tc>
          <w:tcPr/>
          <w:p>
            <w:pPr>
              <w:pStyle w:val="Compact"/>
            </w:pPr>
            <w:r>
              <w:t xml:space="preserve">Kilder</w:t>
            </w:r>
          </w:p>
        </w:tc>
      </w:tr>
      <w:tr>
        <w:tc>
          <w:tcPr/>
          <w:p>
            <w:pPr>
              <w:pStyle w:val="Compact"/>
            </w:pPr>
            <w:r>
              <w:rPr>
                <w:b/>
                <w:bCs/>
              </w:rPr>
              <w:t xml:space="preserve">Arbeiderpartiet</w:t>
            </w:r>
            <w:hyperlink r:id="rId35">
              <w:r>
                <w:rPr>
                  <w:rStyle w:val="Hyperlink"/>
                  <w:b/>
                  <w:bCs/>
                </w:rPr>
                <w:t xml:space="preserve">[19]</w:t>
              </w:r>
            </w:hyperlink>
          </w:p>
        </w:tc>
        <w:tc>
          <w:tcPr/>
          <w:p>
            <w:pPr>
              <w:pStyle w:val="Compact"/>
            </w:pPr>
            <w:r>
              <w:t xml:space="preserve">Vil øke selvforsyningen til 50 prosent innen 2030, korrigert for importert fôr, tette inntektsgapet i jordbruket innen 2027, og kombinere dette med sterkere konkurransetiltak i dagligvaremarkedet, prisinformasjon og oppdatering av lov om god handelsskikk. Støttet matsvinnloven i 2025.</w:t>
            </w:r>
          </w:p>
        </w:tc>
        <w:tc>
          <w:tcPr/>
          <w:p>
            <w:pPr>
              <w:pStyle w:val="Compact"/>
            </w:pPr>
            <w:r>
              <w:t xml:space="preserve">Pragmatisk, styringsorientert, “trygghet + bedre råd”.</w:t>
            </w:r>
          </w:p>
        </w:tc>
        <w:tc>
          <w:tcPr/>
          <w:p>
            <w:pPr>
              <w:pStyle w:val="Compact"/>
            </w:pPr>
            <w:hyperlink r:id="rId27">
              <w:r>
                <w:rPr>
                  <w:rStyle w:val="Hyperlink"/>
                </w:rPr>
                <w:t xml:space="preserve">[20]</w:t>
              </w:r>
            </w:hyperlink>
          </w:p>
        </w:tc>
      </w:tr>
      <w:tr>
        <w:tc>
          <w:tcPr/>
          <w:p>
            <w:pPr>
              <w:pStyle w:val="Compact"/>
            </w:pPr>
            <w:r>
              <w:rPr>
                <w:b/>
                <w:bCs/>
              </w:rPr>
              <w:t xml:space="preserve">Senterpartiet</w:t>
            </w:r>
            <w:hyperlink r:id="rId31">
              <w:r>
                <w:rPr>
                  <w:rStyle w:val="Hyperlink"/>
                  <w:b/>
                  <w:bCs/>
                </w:rPr>
                <w:t xml:space="preserve">[21]</w:t>
              </w:r>
            </w:hyperlink>
          </w:p>
        </w:tc>
        <w:tc>
          <w:tcPr/>
          <w:p>
            <w:pPr>
              <w:pStyle w:val="Compact"/>
            </w:pPr>
            <w:r>
              <w:t xml:space="preserve">Kobler matsikkerhet tett til nasjonal beredskap, beredskapslagre, jordvern, importvern og lokale verdikjeder. Vil ha 50 prosent selvforsyning, økt markedsmakt til bønder og reduksjon av matsvinn i hele verdikjeden; løftet også matmoms-kutt i 2025.</w:t>
            </w:r>
          </w:p>
        </w:tc>
        <w:tc>
          <w:tcPr/>
          <w:p>
            <w:pPr>
              <w:pStyle w:val="Compact"/>
            </w:pPr>
            <w:r>
              <w:t xml:space="preserve">Distriktsorientert, beredskapsnasjonal, ofte suverenitetsnær.</w:t>
            </w:r>
          </w:p>
        </w:tc>
        <w:tc>
          <w:tcPr/>
          <w:p>
            <w:pPr>
              <w:pStyle w:val="Compact"/>
            </w:pPr>
            <w:hyperlink r:id="rId36">
              <w:r>
                <w:rPr>
                  <w:rStyle w:val="Hyperlink"/>
                </w:rPr>
                <w:t xml:space="preserve">[22]</w:t>
              </w:r>
            </w:hyperlink>
          </w:p>
        </w:tc>
      </w:tr>
      <w:tr>
        <w:tc>
          <w:tcPr/>
          <w:p>
            <w:pPr>
              <w:pStyle w:val="Compact"/>
            </w:pPr>
            <w:r>
              <w:rPr>
                <w:b/>
                <w:bCs/>
              </w:rPr>
              <w:t xml:space="preserve">Høyre</w:t>
            </w:r>
            <w:hyperlink r:id="rId26">
              <w:r>
                <w:rPr>
                  <w:rStyle w:val="Hyperlink"/>
                  <w:b/>
                  <w:bCs/>
                </w:rPr>
                <w:t xml:space="preserve">[23]</w:t>
              </w:r>
            </w:hyperlink>
          </w:p>
        </w:tc>
        <w:tc>
          <w:tcPr/>
          <w:p>
            <w:pPr>
              <w:pStyle w:val="Compact"/>
            </w:pPr>
            <w:r>
              <w:t xml:space="preserve">Vil ha mer åpenhet i verdikjeden, tydeligere merking av EMV, sterkere konkurranse og selektive lettelser i importvernet for å dempe matprisene. Støttet en mer helhetlig matsystemtenkning i 2024, men gjennom en moderniserings- og konkurranselogikk.</w:t>
            </w:r>
          </w:p>
        </w:tc>
        <w:tc>
          <w:tcPr/>
          <w:p>
            <w:pPr>
              <w:pStyle w:val="Compact"/>
            </w:pPr>
            <w:r>
              <w:t xml:space="preserve">Teknokratisk, forbruker- og konkurranseorientert.</w:t>
            </w:r>
          </w:p>
        </w:tc>
        <w:tc>
          <w:tcPr/>
          <w:p>
            <w:pPr>
              <w:pStyle w:val="Compact"/>
            </w:pPr>
            <w:hyperlink r:id="rId37">
              <w:r>
                <w:rPr>
                  <w:rStyle w:val="Hyperlink"/>
                </w:rPr>
                <w:t xml:space="preserve">[24]</w:t>
              </w:r>
            </w:hyperlink>
          </w:p>
        </w:tc>
      </w:tr>
      <w:tr>
        <w:tc>
          <w:tcPr/>
          <w:p>
            <w:pPr>
              <w:pStyle w:val="Compact"/>
            </w:pPr>
            <w:r>
              <w:rPr>
                <w:b/>
                <w:bCs/>
              </w:rPr>
              <w:t xml:space="preserve">Fremskrittspartiet</w:t>
            </w:r>
            <w:hyperlink r:id="rId38">
              <w:r>
                <w:rPr>
                  <w:rStyle w:val="Hyperlink"/>
                  <w:b/>
                  <w:bCs/>
                </w:rPr>
                <w:t xml:space="preserve">[25]</w:t>
              </w:r>
            </w:hyperlink>
          </w:p>
        </w:tc>
        <w:tc>
          <w:tcPr/>
          <w:p>
            <w:pPr>
              <w:pStyle w:val="Compact"/>
            </w:pPr>
            <w:r>
              <w:t xml:space="preserve">Definerer matpriser som kjøpekraftsspørsmål og går tungt inn for halvert matmoms. I landbrukspolitikken vektlegger partiet kostnadseffektiv produksjon, markedsøkonomi, deregulering og større næringsfrihet.</w:t>
            </w:r>
          </w:p>
        </w:tc>
        <w:tc>
          <w:tcPr/>
          <w:p>
            <w:pPr>
              <w:pStyle w:val="Compact"/>
            </w:pPr>
            <w:r>
              <w:t xml:space="preserve">Populistisk, anti-regulativt, lommebokorientert.</w:t>
            </w:r>
          </w:p>
        </w:tc>
        <w:tc>
          <w:tcPr/>
          <w:p>
            <w:pPr>
              <w:pStyle w:val="Compact"/>
            </w:pPr>
            <w:hyperlink r:id="rId39">
              <w:r>
                <w:rPr>
                  <w:rStyle w:val="Hyperlink"/>
                </w:rPr>
                <w:t xml:space="preserve">[26]</w:t>
              </w:r>
            </w:hyperlink>
          </w:p>
        </w:tc>
      </w:tr>
      <w:tr>
        <w:tc>
          <w:tcPr/>
          <w:p>
            <w:pPr>
              <w:pStyle w:val="Compact"/>
            </w:pPr>
            <w:r>
              <w:rPr>
                <w:b/>
                <w:bCs/>
              </w:rPr>
              <w:t xml:space="preserve">Sosialistisk Venstreparti</w:t>
            </w:r>
            <w:hyperlink r:id="rId40">
              <w:r>
                <w:rPr>
                  <w:rStyle w:val="Hyperlink"/>
                  <w:b/>
                  <w:bCs/>
                </w:rPr>
                <w:t xml:space="preserve">[27]</w:t>
              </w:r>
            </w:hyperlink>
          </w:p>
        </w:tc>
        <w:tc>
          <w:tcPr/>
          <w:p>
            <w:pPr>
              <w:pStyle w:val="Compact"/>
            </w:pPr>
            <w:r>
              <w:t xml:space="preserve">Vil styrke landbruket over hele landet, øke selvforsyning og tette inntektsgapet for bønder, men kombinerer dette med en tydelig kritikk av dagligvaremakt og krav om sterkere inngrep mot monopoler og markedsdominans.</w:t>
            </w:r>
          </w:p>
        </w:tc>
        <w:tc>
          <w:tcPr/>
          <w:p>
            <w:pPr>
              <w:pStyle w:val="Compact"/>
            </w:pPr>
            <w:r>
              <w:t xml:space="preserve">Venstrepopulistisk på pris og makt; fordelings- og jordvernsorientert på beredskap.</w:t>
            </w:r>
          </w:p>
        </w:tc>
        <w:tc>
          <w:tcPr/>
          <w:p>
            <w:pPr>
              <w:pStyle w:val="Compact"/>
            </w:pPr>
            <w:hyperlink r:id="rId41">
              <w:r>
                <w:rPr>
                  <w:rStyle w:val="Hyperlink"/>
                </w:rPr>
                <w:t xml:space="preserve">[28]</w:t>
              </w:r>
            </w:hyperlink>
          </w:p>
        </w:tc>
      </w:tr>
      <w:tr>
        <w:tc>
          <w:tcPr/>
          <w:p>
            <w:pPr>
              <w:pStyle w:val="Compact"/>
            </w:pPr>
            <w:r>
              <w:rPr>
                <w:b/>
                <w:bCs/>
              </w:rPr>
              <w:t xml:space="preserve">Venstre</w:t>
            </w:r>
            <w:hyperlink r:id="rId42">
              <w:r>
                <w:rPr>
                  <w:rStyle w:val="Hyperlink"/>
                  <w:b/>
                  <w:bCs/>
                </w:rPr>
                <w:t xml:space="preserve">[29]</w:t>
              </w:r>
            </w:hyperlink>
          </w:p>
        </w:tc>
        <w:tc>
          <w:tcPr/>
          <w:p>
            <w:pPr>
              <w:pStyle w:val="Compact"/>
            </w:pPr>
            <w:r>
              <w:t xml:space="preserve">Er den tydeligste brobyggeren mellom matsystem, klima, natur, folkehelse og plantebasert produksjon. Vil ha mer konkurranse i dagligvare og meieri, mindre markedsregulering på sikt, og en egen stortingsmelding om fremtidens matsystemer.</w:t>
            </w:r>
          </w:p>
        </w:tc>
        <w:tc>
          <w:tcPr/>
          <w:p>
            <w:pPr>
              <w:pStyle w:val="Compact"/>
            </w:pPr>
            <w:r>
              <w:t xml:space="preserve">Grønn-liberal, helhetlig og teknokratisk.</w:t>
            </w:r>
          </w:p>
        </w:tc>
        <w:tc>
          <w:tcPr/>
          <w:p>
            <w:pPr>
              <w:pStyle w:val="Compact"/>
            </w:pPr>
            <w:hyperlink r:id="rId43">
              <w:r>
                <w:rPr>
                  <w:rStyle w:val="Hyperlink"/>
                </w:rPr>
                <w:t xml:space="preserve">[30]</w:t>
              </w:r>
            </w:hyperlink>
          </w:p>
        </w:tc>
      </w:tr>
      <w:tr>
        <w:tc>
          <w:tcPr/>
          <w:p>
            <w:pPr>
              <w:pStyle w:val="Compact"/>
            </w:pPr>
            <w:r>
              <w:rPr>
                <w:b/>
                <w:bCs/>
              </w:rPr>
              <w:t xml:space="preserve">Miljøpartiet De Grønne</w:t>
            </w:r>
            <w:hyperlink r:id="rId32">
              <w:r>
                <w:rPr>
                  <w:rStyle w:val="Hyperlink"/>
                  <w:b/>
                  <w:bCs/>
                </w:rPr>
                <w:t xml:space="preserve">[31]</w:t>
              </w:r>
            </w:hyperlink>
          </w:p>
        </w:tc>
        <w:tc>
          <w:tcPr/>
          <w:p>
            <w:pPr>
              <w:pStyle w:val="Compact"/>
            </w:pPr>
            <w:r>
              <w:t xml:space="preserve">Vil øke selvforsyningen til 60 prosent basert på norske ressurser, styrke planteproduksjon, vedta matkastelov, gi sterkere vern av matjord og gjøre landbruket fossilfritt.</w:t>
            </w:r>
          </w:p>
        </w:tc>
        <w:tc>
          <w:tcPr/>
          <w:p>
            <w:pPr>
              <w:pStyle w:val="Compact"/>
            </w:pPr>
            <w:r>
              <w:t xml:space="preserve">Økologisk transformasjon, høyt ambisjonsnivå.</w:t>
            </w:r>
          </w:p>
        </w:tc>
        <w:tc>
          <w:tcPr/>
          <w:p>
            <w:pPr>
              <w:pStyle w:val="Compact"/>
            </w:pPr>
            <w:hyperlink r:id="rId44">
              <w:r>
                <w:rPr>
                  <w:rStyle w:val="Hyperlink"/>
                </w:rPr>
                <w:t xml:space="preserve">[32]</w:t>
              </w:r>
            </w:hyperlink>
          </w:p>
        </w:tc>
      </w:tr>
      <w:tr>
        <w:tc>
          <w:tcPr/>
          <w:p>
            <w:pPr>
              <w:pStyle w:val="Compact"/>
            </w:pPr>
            <w:r>
              <w:rPr>
                <w:b/>
                <w:bCs/>
              </w:rPr>
              <w:t xml:space="preserve">Rødt</w:t>
            </w:r>
            <w:hyperlink r:id="rId23">
              <w:r>
                <w:rPr>
                  <w:rStyle w:val="Hyperlink"/>
                  <w:b/>
                  <w:bCs/>
                </w:rPr>
                <w:t xml:space="preserve">[33]</w:t>
              </w:r>
            </w:hyperlink>
          </w:p>
        </w:tc>
        <w:tc>
          <w:tcPr/>
          <w:p>
            <w:pPr>
              <w:pStyle w:val="Compact"/>
            </w:pPr>
            <w:r>
              <w:t xml:space="preserve">Definerer matpolitikk som spørsmål om mattrygghet og “matsuverenitet”; kobler høyere priser til maktkonsentrasjon og vil bryte opp eierskapsmakt i dagligvarebransjen. Forsvarer mer norsk produksjon og sterkere politisk kontroll.</w:t>
            </w:r>
          </w:p>
        </w:tc>
        <w:tc>
          <w:tcPr/>
          <w:p>
            <w:pPr>
              <w:pStyle w:val="Compact"/>
            </w:pPr>
            <w:r>
              <w:t xml:space="preserve">Systemkritisk, anti-konsentrasjon, fordelingsorientert.</w:t>
            </w:r>
          </w:p>
        </w:tc>
        <w:tc>
          <w:tcPr/>
          <w:p>
            <w:pPr>
              <w:pStyle w:val="Compact"/>
            </w:pPr>
            <w:hyperlink r:id="rId45">
              <w:r>
                <w:rPr>
                  <w:rStyle w:val="Hyperlink"/>
                </w:rPr>
                <w:t xml:space="preserve">[34]</w:t>
              </w:r>
            </w:hyperlink>
          </w:p>
        </w:tc>
      </w:tr>
      <w:tr>
        <w:tc>
          <w:tcPr/>
          <w:p>
            <w:pPr>
              <w:pStyle w:val="Compact"/>
            </w:pPr>
            <w:r>
              <w:rPr>
                <w:b/>
                <w:bCs/>
              </w:rPr>
              <w:t xml:space="preserve">Kristelig Folkeparti</w:t>
            </w:r>
            <w:hyperlink r:id="rId26">
              <w:r>
                <w:rPr>
                  <w:rStyle w:val="Hyperlink"/>
                  <w:b/>
                  <w:bCs/>
                </w:rPr>
                <w:t xml:space="preserve">[35]</w:t>
              </w:r>
            </w:hyperlink>
          </w:p>
        </w:tc>
        <w:tc>
          <w:tcPr/>
          <w:p>
            <w:pPr>
              <w:pStyle w:val="Compact"/>
            </w:pPr>
            <w:r>
              <w:t xml:space="preserve">Rammer inn landbruk som beredskap, familiegårder og matsikkerhet. Forsvarer tollvern og 50 prosent selvforsyning, og legger vekt på langsiktighet og tillit til bonden.</w:t>
            </w:r>
          </w:p>
        </w:tc>
        <w:tc>
          <w:tcPr/>
          <w:p>
            <w:pPr>
              <w:pStyle w:val="Compact"/>
            </w:pPr>
            <w:r>
              <w:t xml:space="preserve">Verdibasert, moralsk og beredskapsorientert.</w:t>
            </w:r>
          </w:p>
        </w:tc>
        <w:tc>
          <w:tcPr/>
          <w:p>
            <w:pPr>
              <w:pStyle w:val="Compact"/>
            </w:pPr>
            <w:hyperlink r:id="rId42">
              <w:r>
                <w:rPr>
                  <w:rStyle w:val="Hyperlink"/>
                </w:rPr>
                <w:t xml:space="preserve">[36]</w:t>
              </w:r>
            </w:hyperlink>
          </w:p>
        </w:tc>
      </w:tr>
    </w:tbl>
    <w:p>
      <w:pPr>
        <w:pStyle w:val="BodyText"/>
      </w:pPr>
      <w:r>
        <w:t xml:space="preserve">Personpolitisk blir konfliktlinjene enda tydeligere. Jonas Gahr Støre</w:t>
      </w:r>
      <w:hyperlink r:id="rId27">
        <w:r>
          <w:rPr>
            <w:rStyle w:val="Hyperlink"/>
          </w:rPr>
          <w:t xml:space="preserve">[37]</w:t>
        </w:r>
      </w:hyperlink>
      <w:r>
        <w:t xml:space="preserve"> </w:t>
      </w:r>
      <w:r>
        <w:t xml:space="preserve">gjorde i mai 2025 matprisene til statsministersak og sa at økte matpriser er noe husholdningene merker “hver eneste dag”, samtidig som hans regjering la fram nye konkurransetiltak. Trygve Slagsvold Vedum</w:t>
      </w:r>
      <w:hyperlink r:id="rId31">
        <w:r>
          <w:rPr>
            <w:rStyle w:val="Hyperlink"/>
          </w:rPr>
          <w:t xml:space="preserve">[38]</w:t>
        </w:r>
      </w:hyperlink>
      <w:r>
        <w:t xml:space="preserve"> </w:t>
      </w:r>
      <w:r>
        <w:t xml:space="preserve">valgte en mer direkte kjøpekraftslinje med parolen “Alle må ha mat” da han løftet matmoms-kutt. Alfred Bjørlo</w:t>
      </w:r>
      <w:hyperlink r:id="rId41">
        <w:r>
          <w:rPr>
            <w:rStyle w:val="Hyperlink"/>
          </w:rPr>
          <w:t xml:space="preserve">[39]</w:t>
        </w:r>
      </w:hyperlink>
      <w:r>
        <w:t xml:space="preserve"> </w:t>
      </w:r>
      <w:r>
        <w:t xml:space="preserve">posisjonerte Venstre som arkitekt for “framtidas grønne, sunne og bærekraftige matpolitikk”, mens Hans Andreas Limi</w:t>
      </w:r>
      <w:hyperlink r:id="rId23">
        <w:r>
          <w:rPr>
            <w:rStyle w:val="Hyperlink"/>
          </w:rPr>
          <w:t xml:space="preserve">[40]</w:t>
        </w:r>
      </w:hyperlink>
      <w:r>
        <w:t xml:space="preserve"> </w:t>
      </w:r>
      <w:r>
        <w:t xml:space="preserve">formulerte FrPs klareste linje: “Vi trenger ikke flere reguleringer. Vi trenger lavere matpriser.” Det illustrerer at sentrale politikere i perioden ikke bare er uenige om virkemidler, men om hvilket</w:t>
      </w:r>
      <w:r>
        <w:t xml:space="preserve"> </w:t>
      </w:r>
      <w:r>
        <w:rPr>
          <w:i/>
          <w:iCs/>
        </w:rPr>
        <w:t xml:space="preserve">problem</w:t>
      </w:r>
      <w:r>
        <w:t xml:space="preserve"> </w:t>
      </w:r>
      <w:r>
        <w:t xml:space="preserve">matpolitikken egentlig skal løse.</w:t>
      </w:r>
      <w:r>
        <w:t xml:space="preserve"> </w:t>
      </w:r>
      <w:hyperlink r:id="rId26">
        <w:r>
          <w:rPr>
            <w:rStyle w:val="Hyperlink"/>
          </w:rPr>
          <w:t xml:space="preserve">[41]</w:t>
        </w:r>
      </w:hyperlink>
    </w:p>
    <w:bookmarkEnd w:id="46"/>
    <w:bookmarkStart w:id="51" w:name="ekspert--og-fagmiljøposisjoner"/>
    <w:p>
      <w:pPr>
        <w:pStyle w:val="Heading2"/>
      </w:pPr>
      <w:r>
        <w:t xml:space="preserve">Ekspert- og fagmiljøposisjoner</w:t>
      </w:r>
    </w:p>
    <w:p>
      <w:pPr>
        <w:pStyle w:val="FirstParagraph"/>
      </w:pPr>
      <w:r>
        <w:t xml:space="preserve">Ekspertmiljøene tegner et mer komplekst bilde enn de politiske slagordene. Konkurransetilsynet</w:t>
      </w:r>
      <w:hyperlink r:id="rId21">
        <w:r>
          <w:rPr>
            <w:rStyle w:val="Hyperlink"/>
          </w:rPr>
          <w:t xml:space="preserve">[42]</w:t>
        </w:r>
      </w:hyperlink>
      <w:r>
        <w:t xml:space="preserve"> </w:t>
      </w:r>
      <w:r>
        <w:t xml:space="preserve">konkluderer med at dagligvaremarkedet fortsatt er svært konsentrert; i 2024 hadde største aktør 43,5 prosent markedsandel, nest største 29,2 prosent, tredje største 23,9 prosent og fjerde største 3,3 prosent. Samtidig viser en utredning bestilt av regjeringen at det ikke er godt nok grunnlag for å si at pålagte regnskapsmessige eller funksjonelle skiller i seg selv vil styrke konkurransen; slike krav kan også gi kostnader og i verste fall gjøre priskoordinering lettere. Fagposisjonen er altså ikke at dagligvaremakt er et medieskapt problem, men at</w:t>
      </w:r>
      <w:r>
        <w:t xml:space="preserve"> </w:t>
      </w:r>
      <w:r>
        <w:rPr>
          <w:b/>
          <w:bCs/>
        </w:rPr>
        <w:t xml:space="preserve">riktig inngrep er omstridt</w:t>
      </w:r>
      <w:r>
        <w:t xml:space="preserve">.</w:t>
      </w:r>
      <w:r>
        <w:t xml:space="preserve"> </w:t>
      </w:r>
      <w:hyperlink r:id="rId29">
        <w:r>
          <w:rPr>
            <w:rStyle w:val="Hyperlink"/>
          </w:rPr>
          <w:t xml:space="preserve">[43]</w:t>
        </w:r>
      </w:hyperlink>
    </w:p>
    <w:p>
      <w:pPr>
        <w:pStyle w:val="BodyText"/>
      </w:pPr>
      <w:r>
        <w:t xml:space="preserve">På beredskapssiden er tonen skarpere. Riksrevisjonen</w:t>
      </w:r>
      <w:hyperlink r:id="rId26">
        <w:r>
          <w:rPr>
            <w:rStyle w:val="Hyperlink"/>
          </w:rPr>
          <w:t xml:space="preserve">[44]</w:t>
        </w:r>
      </w:hyperlink>
      <w:r>
        <w:t xml:space="preserve"> </w:t>
      </w:r>
      <w:r>
        <w:t xml:space="preserve">slo i 2023 fast at myndighetene “ikke har tatt tilstrekkelig hensyn til at alvorlige kriser kan påvirke matsikkerheten”, at man ikke har vurdert hendelser som kan gi vesentlig svikt i tilgangen på mat, og at felles mål for beredskapsplanlegging mangler. Stortingets oppfølging i 2024 var bemerkelsesverdig sterk: regjeringen ble bedt om å arbeide mot 50 prosent selvforsyning innen 2030, utarbeide konkrete beredskapsplaner som sikrer alle nordmenn nok mat, starte arbeid med en offentlig utredning om fremtidens matsystemer og lage en plan for mer plantebasert mat.</w:t>
      </w:r>
      <w:r>
        <w:t xml:space="preserve"> </w:t>
      </w:r>
      <w:hyperlink r:id="rId47">
        <w:r>
          <w:rPr>
            <w:rStyle w:val="Hyperlink"/>
          </w:rPr>
          <w:t xml:space="preserve">[45]</w:t>
        </w:r>
      </w:hyperlink>
    </w:p>
    <w:p>
      <w:pPr>
        <w:pStyle w:val="BodyText"/>
      </w:pPr>
      <w:r>
        <w:t xml:space="preserve">Samtidig advarer fagmiljøene mot forenkling. NIBIO</w:t>
      </w:r>
      <w:hyperlink r:id="rId22">
        <w:r>
          <w:rPr>
            <w:rStyle w:val="Hyperlink"/>
          </w:rPr>
          <w:t xml:space="preserve">[46]</w:t>
        </w:r>
      </w:hyperlink>
      <w:r>
        <w:t xml:space="preserve"> </w:t>
      </w:r>
      <w:r>
        <w:t xml:space="preserve">understreker at selvforsyningstallene avhenger av hva man teller og hvordan man teller: importert fôr, arbeidskraft, maskiner, reservedeler, energi og sjømat gjør målet langt mer komplekst enn det politiske tallet “50 prosent” antyder. NIBIO viser også at tallet for 2023 var 47 prosent, men at beregningen kan settes opp på ulike vis. Dette er kanskje rapportens viktigste kunnskapspolitiske poeng: i mediene fungerer “50 prosent” som et sterkt slagord; i fagmiljøene er det først og fremst et</w:t>
      </w:r>
      <w:r>
        <w:t xml:space="preserve"> </w:t>
      </w:r>
      <w:r>
        <w:rPr>
          <w:b/>
          <w:bCs/>
        </w:rPr>
        <w:t xml:space="preserve">omstridt og metodisk følsomt styringsmål</w:t>
      </w:r>
      <w:r>
        <w:t xml:space="preserve">.</w:t>
      </w:r>
      <w:r>
        <w:t xml:space="preserve"> </w:t>
      </w:r>
      <w:hyperlink r:id="rId38">
        <w:r>
          <w:rPr>
            <w:rStyle w:val="Hyperlink"/>
          </w:rPr>
          <w:t xml:space="preserve">[47]</w:t>
        </w:r>
      </w:hyperlink>
    </w:p>
    <w:p>
      <w:pPr>
        <w:pStyle w:val="BodyText"/>
      </w:pPr>
      <w:r>
        <w:t xml:space="preserve">Forbruksforskningsinstituttet SIFO</w:t>
      </w:r>
      <w:hyperlink r:id="rId30">
        <w:r>
          <w:rPr>
            <w:rStyle w:val="Hyperlink"/>
          </w:rPr>
          <w:t xml:space="preserve">[48]</w:t>
        </w:r>
      </w:hyperlink>
      <w:r>
        <w:t xml:space="preserve"> </w:t>
      </w:r>
      <w:r>
        <w:t xml:space="preserve">ved OsloMet</w:t>
      </w:r>
      <w:hyperlink r:id="rId32">
        <w:r>
          <w:rPr>
            <w:rStyle w:val="Hyperlink"/>
          </w:rPr>
          <w:t xml:space="preserve">[49]</w:t>
        </w:r>
      </w:hyperlink>
      <w:r>
        <w:t xml:space="preserve"> </w:t>
      </w:r>
      <w:r>
        <w:t xml:space="preserve">tilfører to perspektiver som ofte mangler i partipolitikken. Det ene er fordelingsperspektivet: i 2024 var bare halvparten av befolkningen økonomisk trygge, mens 17 prosent slet eller var ille ute; dette er langt svakere enn nivået i 2021. Det andre er lokalsystem-perspektivet: forskning fra FOODprepared-prosjektet argumenterer for at nasjonal selvforsyning alene ikke er nok, fordi nasjonale overskudd kan eksistere side om side med lokal matusikkerhet når distribusjon, digital infrastruktur eller lokale nettverk svikter. Ekspertposisjonen blir dermed mer “fra lager til husholdning” enn “fra åker til prosentmål”.</w:t>
      </w:r>
      <w:r>
        <w:t xml:space="preserve"> </w:t>
      </w:r>
      <w:hyperlink r:id="rId48">
        <w:r>
          <w:rPr>
            <w:rStyle w:val="Hyperlink"/>
          </w:rPr>
          <w:t xml:space="preserve">[50]</w:t>
        </w:r>
      </w:hyperlink>
    </w:p>
    <w:p>
      <w:pPr>
        <w:pStyle w:val="BodyText"/>
      </w:pPr>
      <w:r>
        <w:t xml:space="preserve">På matsvinn og sirkularitet er gapet mellom medie- og ekspertlogikk tydelig. Matvett</w:t>
      </w:r>
      <w:hyperlink r:id="rId49">
        <w:r>
          <w:rPr>
            <w:rStyle w:val="Hyperlink"/>
          </w:rPr>
          <w:t xml:space="preserve">[51]</w:t>
        </w:r>
      </w:hyperlink>
      <w:r>
        <w:t xml:space="preserve"> </w:t>
      </w:r>
      <w:r>
        <w:t xml:space="preserve">rapporterte i 2025 at husholdningenes matsvinn lå omtrent på stedet hvil fra 2024 til 2025, men samtidig 18 prosent lavere enn i 2018. Fagmiljøene peker dessuten på at frukt og grønt, måltidsrester og brød/bakevarer fortsatt er de største svinnkildene. Nofima</w:t>
      </w:r>
      <w:hyperlink r:id="rId50">
        <w:r>
          <w:rPr>
            <w:rStyle w:val="Hyperlink"/>
          </w:rPr>
          <w:t xml:space="preserve">[52]</w:t>
        </w:r>
      </w:hyperlink>
      <w:r>
        <w:t xml:space="preserve"> </w:t>
      </w:r>
      <w:r>
        <w:t xml:space="preserve">beskriver bærekraftige matsystemer som systemer som samtidig må sikre matsikkerhet, ernæring, miljø, biologisk mangfold, økonomisk rettferdighet og minst mulig matsvinn. Regjeringens handlingsplan for sirkulær økonomi er derimot primært innrettet mot produkter og verdikjeder i generell forstand, og slår uttrykkelig fast at økodesignrammeverket ikke skal omfatte mat. Det forklarer mye av hvorfor “sirkularitet” i norsk matdebatt nesten alltid reduseres til</w:t>
      </w:r>
      <w:r>
        <w:t xml:space="preserve"> </w:t>
      </w:r>
      <w:r>
        <w:rPr>
          <w:b/>
          <w:bCs/>
        </w:rPr>
        <w:t xml:space="preserve">matsvinn</w:t>
      </w:r>
      <w:r>
        <w:t xml:space="preserve">, mens næringsstoffkretsløp, sidestrømmer, biogass, fôr, offentlig innkjøp og ressursfortrengning i liten grad blir folkelige medietema.</w:t>
      </w:r>
      <w:r>
        <w:t xml:space="preserve"> </w:t>
      </w:r>
      <w:hyperlink r:id="rId50">
        <w:r>
          <w:rPr>
            <w:rStyle w:val="Hyperlink"/>
          </w:rPr>
          <w:t xml:space="preserve">[53]</w:t>
        </w:r>
      </w:hyperlink>
    </w:p>
    <w:bookmarkEnd w:id="51"/>
    <w:bookmarkStart w:id="52" w:name="Xc113e77b52ed80686b865054719ce1d43921b3f"/>
    <w:p>
      <w:pPr>
        <w:pStyle w:val="Heading2"/>
      </w:pPr>
      <w:r>
        <w:t xml:space="preserve">Blinde flekker og hvilke frames som fester seg</w:t>
      </w:r>
    </w:p>
    <w:p>
      <w:pPr>
        <w:pStyle w:val="FirstParagraph"/>
      </w:pPr>
      <w:r>
        <w:t xml:space="preserve">Det mest systematiske fraværet i perioden er</w:t>
      </w:r>
      <w:r>
        <w:t xml:space="preserve"> </w:t>
      </w:r>
      <w:r>
        <w:rPr>
          <w:b/>
          <w:bCs/>
        </w:rPr>
        <w:t xml:space="preserve">tilgangsperspektivet</w:t>
      </w:r>
      <w:r>
        <w:t xml:space="preserve">. Politikk og medier diskuterer ofte om Norge produserer nok mat, men langt sjeldnere om maten faktisk når fram under kriser, hvem som får den først, hvordan lokal distribusjon virker ved digital svikt, og hvordan pris, butikkstruktur og transport påvirker ulikhet i tilgang. Forbrukerrådet etterlyser lokale utsalgssteder, varetransport, prioritering av mat og medisiner og konkrete planer for knapphetssituasjoner. SIFO peker tilsvarende på at lokale matsystemer kan være avgjørende når nasjonale kjeder eller digitale systemer svikter. Dette er alvorlig underkommunisert sammenlignet med oppmerksomheten rundt prosentmålet for selvforsyning.</w:t>
      </w:r>
      <w:r>
        <w:t xml:space="preserve"> </w:t>
      </w:r>
      <w:hyperlink r:id="rId49">
        <w:r>
          <w:rPr>
            <w:rStyle w:val="Hyperlink"/>
          </w:rPr>
          <w:t xml:space="preserve">[54]</w:t>
        </w:r>
      </w:hyperlink>
    </w:p>
    <w:p>
      <w:pPr>
        <w:pStyle w:val="BodyText"/>
      </w:pPr>
      <w:r>
        <w:t xml:space="preserve">Den andre blinde flekken er</w:t>
      </w:r>
      <w:r>
        <w:t xml:space="preserve"> </w:t>
      </w:r>
      <w:r>
        <w:rPr>
          <w:b/>
          <w:bCs/>
        </w:rPr>
        <w:t xml:space="preserve">importavhengighetens dybde</w:t>
      </w:r>
      <w:r>
        <w:t xml:space="preserve">. I mediene framstår selvforsyning ofte som et spørsmål om hvor mye mat som dyrkes i Norge. Fagmiljøene viser derimot at importert fôr, arbeidskraft, maskiner, reservedeler og innsatsfaktorer er del av samme sårbarhet. Regjeringens egen omtale av matsystemet beskriver Norge som tett koblet til det globale matsystemet, blant annet gjennom import av frukt, grønt, korn, sukker, fôringredienser, arbeidskraft og maskiner. Når dette ikke kommer tydelig fram i offentligheten, blir både beredskaps- og selvforsyningsdebatten mer binær enn virkeligheten tilsier.</w:t>
      </w:r>
      <w:r>
        <w:t xml:space="preserve"> </w:t>
      </w:r>
      <w:hyperlink r:id="rId38">
        <w:r>
          <w:rPr>
            <w:rStyle w:val="Hyperlink"/>
          </w:rPr>
          <w:t xml:space="preserve">[55]</w:t>
        </w:r>
      </w:hyperlink>
    </w:p>
    <w:p>
      <w:pPr>
        <w:pStyle w:val="BodyText"/>
      </w:pPr>
      <w:r>
        <w:t xml:space="preserve">Den tredje blinde flekken er</w:t>
      </w:r>
      <w:r>
        <w:t xml:space="preserve"> </w:t>
      </w:r>
      <w:r>
        <w:rPr>
          <w:b/>
          <w:bCs/>
        </w:rPr>
        <w:t xml:space="preserve">sirkularitet utover matsvinn</w:t>
      </w:r>
      <w:r>
        <w:t xml:space="preserve">. Den nye matsvinnloven gir klare nye standarder, men den offentlige samtalen handler fortsatt mest om å redde mat nær utløpsdato og donere overskudd. Langt sjeldnere diskuteres næringsstoffgjenvinning, sidestrømmer fra industri og havbruk, gårdsbasert energi, biogass, fôrsubstitusjon, offentlig måltidspolitikk og hvordan ressursbruk i hele matsystemet kan bli mer sirkulær. Her er ekspert- og innovasjonsmiljøene lenger framme enn både de store mediene og partienes hovedretorikk.</w:t>
      </w:r>
      <w:r>
        <w:t xml:space="preserve"> </w:t>
      </w:r>
      <w:hyperlink r:id="rId32">
        <w:r>
          <w:rPr>
            <w:rStyle w:val="Hyperlink"/>
          </w:rPr>
          <w:t xml:space="preserve">[56]</w:t>
        </w:r>
      </w:hyperlink>
    </w:p>
    <w:p>
      <w:pPr>
        <w:pStyle w:val="BodyText"/>
      </w:pPr>
      <w:r>
        <w:t xml:space="preserve">Det som faktisk fester seg sterkest som språk og frame, er fem uttrykk.</w:t>
      </w:r>
      <w:r>
        <w:t xml:space="preserve"> </w:t>
      </w:r>
      <w:r>
        <w:rPr>
          <w:b/>
          <w:bCs/>
        </w:rPr>
        <w:t xml:space="preserve">“Dyrtid”</w:t>
      </w:r>
      <w:r>
        <w:t xml:space="preserve"> </w:t>
      </w:r>
      <w:r>
        <w:t xml:space="preserve">gjør mat til en lommeboksak.</w:t>
      </w:r>
      <w:r>
        <w:t xml:space="preserve"> </w:t>
      </w:r>
      <w:r>
        <w:rPr>
          <w:b/>
          <w:bCs/>
        </w:rPr>
        <w:t xml:space="preserve">“Matbaroner”</w:t>
      </w:r>
      <w:r>
        <w:t xml:space="preserve"> </w:t>
      </w:r>
      <w:r>
        <w:t xml:space="preserve">og</w:t>
      </w:r>
      <w:r>
        <w:t xml:space="preserve"> </w:t>
      </w:r>
      <w:r>
        <w:rPr>
          <w:b/>
          <w:bCs/>
        </w:rPr>
        <w:t xml:space="preserve">“dagligvarebaroner”</w:t>
      </w:r>
      <w:r>
        <w:t xml:space="preserve"> </w:t>
      </w:r>
      <w:r>
        <w:t xml:space="preserve">gjør strukturspørsmål emosjonelt forståelige.</w:t>
      </w:r>
      <w:r>
        <w:t xml:space="preserve"> </w:t>
      </w:r>
      <w:r>
        <w:rPr>
          <w:b/>
          <w:bCs/>
        </w:rPr>
        <w:t xml:space="preserve">“50 prosent selvforsyning”</w:t>
      </w:r>
      <w:r>
        <w:t xml:space="preserve"> </w:t>
      </w:r>
      <w:r>
        <w:t xml:space="preserve">gir politisk retning i én setning.</w:t>
      </w:r>
      <w:r>
        <w:t xml:space="preserve"> </w:t>
      </w:r>
      <w:r>
        <w:rPr>
          <w:b/>
          <w:bCs/>
        </w:rPr>
        <w:t xml:space="preserve">“Beredskapslager for matkorn”</w:t>
      </w:r>
      <w:r>
        <w:t xml:space="preserve"> </w:t>
      </w:r>
      <w:r>
        <w:t xml:space="preserve">gir et konkret symbol på statlig handlekraft. Og</w:t>
      </w:r>
      <w:r>
        <w:t xml:space="preserve"> </w:t>
      </w:r>
      <w:r>
        <w:rPr>
          <w:b/>
          <w:bCs/>
        </w:rPr>
        <w:t xml:space="preserve">“best før, ofte god etter”</w:t>
      </w:r>
      <w:r>
        <w:t xml:space="preserve"> </w:t>
      </w:r>
      <w:r>
        <w:t xml:space="preserve">gjør matsvinn til et håndterbart hverdagsproblem. Mindre vellykket som offentlig frame er derimot</w:t>
      </w:r>
      <w:r>
        <w:t xml:space="preserve"> </w:t>
      </w:r>
      <w:r>
        <w:rPr>
          <w:b/>
          <w:bCs/>
        </w:rPr>
        <w:t xml:space="preserve">“fremtidens matsystemer”</w:t>
      </w:r>
      <w:r>
        <w:t xml:space="preserve">: begrepet er viktig i Stortinget og fagmiljøene, men har ennå ikke fått bred kulturell eller medial gjennomslagskraft.</w:t>
      </w:r>
      <w:r>
        <w:t xml:space="preserve"> </w:t>
      </w:r>
      <w:hyperlink r:id="rId26">
        <w:r>
          <w:rPr>
            <w:rStyle w:val="Hyperlink"/>
          </w:rPr>
          <w:t xml:space="preserve">[57]</w:t>
        </w:r>
      </w:hyperlink>
    </w:p>
    <w:bookmarkEnd w:id="52"/>
    <w:bookmarkStart w:id="56" w:name="konklusjoner-og-anbefalinger"/>
    <w:p>
      <w:pPr>
        <w:pStyle w:val="Heading2"/>
      </w:pPr>
      <w:r>
        <w:t xml:space="preserve">Konklusjoner og anbefalinger</w:t>
      </w:r>
    </w:p>
    <w:p>
      <w:pPr>
        <w:pStyle w:val="FirstParagraph"/>
      </w:pPr>
      <w:r>
        <w:rPr>
          <w:b/>
          <w:bCs/>
        </w:rPr>
        <w:t xml:space="preserve">Kort tidslinje 2020–2026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Dato</w:t>
            </w:r>
          </w:p>
        </w:tc>
        <w:tc>
          <w:tcPr/>
          <w:p>
            <w:pPr>
              <w:pStyle w:val="Compact"/>
            </w:pPr>
            <w:r>
              <w:t xml:space="preserve">Hendelse</w:t>
            </w:r>
          </w:p>
        </w:tc>
        <w:tc>
          <w:tcPr/>
          <w:p>
            <w:pPr>
              <w:pStyle w:val="Compact"/>
            </w:pPr>
            <w:r>
              <w:t xml:space="preserve">Betydning for framstillingen</w:t>
            </w:r>
          </w:p>
        </w:tc>
        <w:tc>
          <w:tcPr/>
          <w:p>
            <w:pPr>
              <w:pStyle w:val="Compact"/>
            </w:pPr>
            <w:r>
              <w:t xml:space="preserve">Kilder</w:t>
            </w:r>
          </w:p>
        </w:tc>
      </w:tr>
      <w:tr>
        <w:tc>
          <w:tcPr/>
          <w:p>
            <w:pPr>
              <w:pStyle w:val="Compact"/>
            </w:pPr>
            <w:r>
              <w:t xml:space="preserve">Mars–mai 2020</w:t>
            </w:r>
          </w:p>
        </w:tc>
        <w:tc>
          <w:tcPr/>
          <w:p>
            <w:pPr>
              <w:pStyle w:val="Compact"/>
            </w:pPr>
            <w:r>
              <w:t xml:space="preserve">Pandemien utløser ny debatt om matsikkerhet, selvforsyning og gjenoppretting av kornlager.</w:t>
            </w:r>
          </w:p>
        </w:tc>
        <w:tc>
          <w:tcPr/>
          <w:p>
            <w:pPr>
              <w:pStyle w:val="Compact"/>
            </w:pPr>
            <w:r>
              <w:t xml:space="preserve">Beredskap flyttes fra sektorsak til allmennpolitikk; tonen er tydelig alarmistisk.</w:t>
            </w:r>
          </w:p>
        </w:tc>
        <w:tc>
          <w:tcPr/>
          <w:p>
            <w:pPr>
              <w:pStyle w:val="Compact"/>
            </w:pPr>
            <w:hyperlink r:id="rId21">
              <w:r>
                <w:rPr>
                  <w:rStyle w:val="Hyperlink"/>
                </w:rPr>
                <w:t xml:space="preserve">[58]</w:t>
              </w:r>
            </w:hyperlink>
          </w:p>
        </w:tc>
      </w:tr>
      <w:tr>
        <w:tc>
          <w:tcPr/>
          <w:p>
            <w:pPr>
              <w:pStyle w:val="Compact"/>
            </w:pPr>
            <w:r>
              <w:t xml:space="preserve">9. mars 2022</w:t>
            </w:r>
          </w:p>
        </w:tc>
        <w:tc>
          <w:tcPr/>
          <w:p>
            <w:pPr>
              <w:pStyle w:val="Compact"/>
            </w:pPr>
            <w:r>
              <w:t xml:space="preserve">Ukraina-krigen aktualiserer matsikkerhet i norske medier.</w:t>
            </w:r>
          </w:p>
        </w:tc>
        <w:tc>
          <w:tcPr/>
          <w:p>
            <w:pPr>
              <w:pStyle w:val="Compact"/>
            </w:pPr>
            <w:r>
              <w:t xml:space="preserve">“Europas kornkammer” og sårbare forsyningslinjer blir nytt rammeverk for beredskapsdebatten.</w:t>
            </w:r>
          </w:p>
        </w:tc>
        <w:tc>
          <w:tcPr/>
          <w:p>
            <w:pPr>
              <w:pStyle w:val="Compact"/>
            </w:pPr>
            <w:hyperlink r:id="rId53">
              <w:r>
                <w:rPr>
                  <w:rStyle w:val="Hyperlink"/>
                </w:rPr>
                <w:t xml:space="preserve">[59]</w:t>
              </w:r>
            </w:hyperlink>
          </w:p>
        </w:tc>
      </w:tr>
      <w:tr>
        <w:tc>
          <w:tcPr/>
          <w:p>
            <w:pPr>
              <w:pStyle w:val="Compact"/>
            </w:pPr>
            <w:r>
              <w:t xml:space="preserve">20. mai 2022</w:t>
            </w:r>
          </w:p>
        </w:tc>
        <w:tc>
          <w:tcPr/>
          <w:p>
            <w:pPr>
              <w:pStyle w:val="Compact"/>
            </w:pPr>
            <w:r>
              <w:t xml:space="preserve">Stortinget vedtar det brede “matmaktforliket” med ti punkter for bedre konkurranse.</w:t>
            </w:r>
          </w:p>
        </w:tc>
        <w:tc>
          <w:tcPr/>
          <w:p>
            <w:pPr>
              <w:pStyle w:val="Compact"/>
            </w:pPr>
            <w:r>
              <w:t xml:space="preserve">Dagligvaremakt blir institusjonalisert som et politisk hovedproblem, ikke bare mediestoff.</w:t>
            </w:r>
          </w:p>
        </w:tc>
        <w:tc>
          <w:tcPr/>
          <w:p>
            <w:pPr>
              <w:pStyle w:val="Compact"/>
            </w:pPr>
            <w:hyperlink r:id="rId31">
              <w:r>
                <w:rPr>
                  <w:rStyle w:val="Hyperlink"/>
                </w:rPr>
                <w:t xml:space="preserve">[60]</w:t>
              </w:r>
            </w:hyperlink>
          </w:p>
        </w:tc>
      </w:tr>
      <w:tr>
        <w:tc>
          <w:tcPr/>
          <w:p>
            <w:pPr>
              <w:pStyle w:val="Compact"/>
            </w:pPr>
            <w:r>
              <w:t xml:space="preserve">2022</w:t>
            </w:r>
          </w:p>
        </w:tc>
        <w:tc>
          <w:tcPr/>
          <w:p>
            <w:pPr>
              <w:pStyle w:val="Compact"/>
            </w:pPr>
            <w:r>
              <w:t xml:space="preserve">Prisene på mat- og alkoholfrie drikkevarer stiger 11,5 prosent.</w:t>
            </w:r>
          </w:p>
        </w:tc>
        <w:tc>
          <w:tcPr/>
          <w:p>
            <w:pPr>
              <w:pStyle w:val="Compact"/>
            </w:pPr>
            <w:r>
              <w:t xml:space="preserve">Dyrtid blir det dominerende medienarrativet rundt mat.</w:t>
            </w:r>
          </w:p>
        </w:tc>
        <w:tc>
          <w:tcPr/>
          <w:p>
            <w:pPr>
              <w:pStyle w:val="Compact"/>
            </w:pPr>
            <w:hyperlink r:id="rId30">
              <w:r>
                <w:rPr>
                  <w:rStyle w:val="Hyperlink"/>
                </w:rPr>
                <w:t xml:space="preserve">[61]</w:t>
              </w:r>
            </w:hyperlink>
          </w:p>
        </w:tc>
      </w:tr>
      <w:tr>
        <w:tc>
          <w:tcPr/>
          <w:p>
            <w:pPr>
              <w:pStyle w:val="Compact"/>
            </w:pPr>
            <w:r>
              <w:t xml:space="preserve">19. oktober 2023</w:t>
            </w:r>
          </w:p>
        </w:tc>
        <w:tc>
          <w:tcPr/>
          <w:p>
            <w:pPr>
              <w:pStyle w:val="Compact"/>
            </w:pPr>
            <w:r>
              <w:t xml:space="preserve">Riksrevisjonen offentliggjør kritisk rapport om matsikkerhet og beredskap.</w:t>
            </w:r>
          </w:p>
        </w:tc>
        <w:tc>
          <w:tcPr/>
          <w:p>
            <w:pPr>
              <w:pStyle w:val="Compact"/>
            </w:pPr>
            <w:r>
              <w:t xml:space="preserve">Debatten skifter fra generell uro til dokumentert systemkritikk.</w:t>
            </w:r>
          </w:p>
        </w:tc>
        <w:tc>
          <w:tcPr/>
          <w:p>
            <w:pPr>
              <w:pStyle w:val="Compact"/>
            </w:pPr>
            <w:hyperlink r:id="rId47">
              <w:r>
                <w:rPr>
                  <w:rStyle w:val="Hyperlink"/>
                </w:rPr>
                <w:t xml:space="preserve">[62]</w:t>
              </w:r>
            </w:hyperlink>
          </w:p>
        </w:tc>
      </w:tr>
      <w:tr>
        <w:tc>
          <w:tcPr/>
          <w:p>
            <w:pPr>
              <w:pStyle w:val="Compact"/>
            </w:pPr>
            <w:r>
              <w:t xml:space="preserve">18. april 2024</w:t>
            </w:r>
          </w:p>
        </w:tc>
        <w:tc>
          <w:tcPr/>
          <w:p>
            <w:pPr>
              <w:pStyle w:val="Compact"/>
            </w:pPr>
            <w:r>
              <w:t xml:space="preserve">Stortinget ber regjeringen styre mot 50 prosent selvforsyning innen 2030 og starte arbeid med utredning om fremtidens matsystemer.</w:t>
            </w:r>
          </w:p>
        </w:tc>
        <w:tc>
          <w:tcPr/>
          <w:p>
            <w:pPr>
              <w:pStyle w:val="Compact"/>
            </w:pPr>
            <w:r>
              <w:t xml:space="preserve">Systemperspektivet kommer tydeligere inn; plantebasert produksjon og helhetlig matsystem løftes inn i hovedstrømmen.</w:t>
            </w:r>
          </w:p>
        </w:tc>
        <w:tc>
          <w:tcPr/>
          <w:p>
            <w:pPr>
              <w:pStyle w:val="Compact"/>
            </w:pPr>
            <w:hyperlink r:id="rId23">
              <w:r>
                <w:rPr>
                  <w:rStyle w:val="Hyperlink"/>
                </w:rPr>
                <w:t xml:space="preserve">[63]</w:t>
              </w:r>
            </w:hyperlink>
          </w:p>
        </w:tc>
      </w:tr>
      <w:tr>
        <w:tc>
          <w:tcPr/>
          <w:p>
            <w:pPr>
              <w:pStyle w:val="Compact"/>
            </w:pPr>
            <w:r>
              <w:t xml:space="preserve">25. juni 2024</w:t>
            </w:r>
          </w:p>
        </w:tc>
        <w:tc>
          <w:tcPr/>
          <w:p>
            <w:pPr>
              <w:pStyle w:val="Compact"/>
            </w:pPr>
            <w:r>
              <w:t xml:space="preserve">Staten inngår avtaler om nasjonalt beredskapslager for matkorn.</w:t>
            </w:r>
          </w:p>
        </w:tc>
        <w:tc>
          <w:tcPr/>
          <w:p>
            <w:pPr>
              <w:pStyle w:val="Compact"/>
            </w:pPr>
            <w:r>
              <w:t xml:space="preserve">Beredskapsnarrativet får et konkret, synlig tiltak.</w:t>
            </w:r>
          </w:p>
        </w:tc>
        <w:tc>
          <w:tcPr/>
          <w:p>
            <w:pPr>
              <w:pStyle w:val="Compact"/>
            </w:pPr>
            <w:hyperlink r:id="rId54">
              <w:r>
                <w:rPr>
                  <w:rStyle w:val="Hyperlink"/>
                </w:rPr>
                <w:t xml:space="preserve">[64]</w:t>
              </w:r>
            </w:hyperlink>
          </w:p>
        </w:tc>
      </w:tr>
      <w:tr>
        <w:tc>
          <w:tcPr/>
          <w:p>
            <w:pPr>
              <w:pStyle w:val="Compact"/>
            </w:pPr>
            <w:r>
              <w:t xml:space="preserve">19. mai 2025</w:t>
            </w:r>
          </w:p>
        </w:tc>
        <w:tc>
          <w:tcPr/>
          <w:p>
            <w:pPr>
              <w:pStyle w:val="Compact"/>
            </w:pPr>
            <w:r>
              <w:t xml:space="preserve">Regjeringen lanserer nye tiltak for bedre konkurranse i dagligvarebransjen.</w:t>
            </w:r>
          </w:p>
        </w:tc>
        <w:tc>
          <w:tcPr/>
          <w:p>
            <w:pPr>
              <w:pStyle w:val="Compact"/>
            </w:pPr>
            <w:r>
              <w:t xml:space="preserve">Prisgjennomsiktighet, bonusordninger og god handelsskikk blir sentrale politiske grep.</w:t>
            </w:r>
          </w:p>
        </w:tc>
        <w:tc>
          <w:tcPr/>
          <w:p>
            <w:pPr>
              <w:pStyle w:val="Compact"/>
            </w:pPr>
            <w:hyperlink r:id="rId26">
              <w:r>
                <w:rPr>
                  <w:rStyle w:val="Hyperlink"/>
                </w:rPr>
                <w:t xml:space="preserve">[65]</w:t>
              </w:r>
            </w:hyperlink>
          </w:p>
        </w:tc>
      </w:tr>
      <w:tr>
        <w:tc>
          <w:tcPr/>
          <w:p>
            <w:pPr>
              <w:pStyle w:val="Compact"/>
            </w:pPr>
            <w:r>
              <w:t xml:space="preserve">20. juni 2025</w:t>
            </w:r>
          </w:p>
        </w:tc>
        <w:tc>
          <w:tcPr/>
          <w:p>
            <w:pPr>
              <w:pStyle w:val="Compact"/>
            </w:pPr>
            <w:r>
              <w:t xml:space="preserve">Matsvinnloven sanksjoneres.</w:t>
            </w:r>
          </w:p>
        </w:tc>
        <w:tc>
          <w:tcPr/>
          <w:p>
            <w:pPr>
              <w:pStyle w:val="Compact"/>
            </w:pPr>
            <w:r>
              <w:t xml:space="preserve">Matsvinn går fra frivillig bransjearbeid til mer bindende politikk.</w:t>
            </w:r>
          </w:p>
        </w:tc>
        <w:tc>
          <w:tcPr/>
          <w:p>
            <w:pPr>
              <w:pStyle w:val="Compact"/>
            </w:pPr>
            <w:hyperlink r:id="rId32">
              <w:r>
                <w:rPr>
                  <w:rStyle w:val="Hyperlink"/>
                </w:rPr>
                <w:t xml:space="preserve">[66]</w:t>
              </w:r>
            </w:hyperlink>
          </w:p>
        </w:tc>
      </w:tr>
      <w:tr>
        <w:tc>
          <w:tcPr/>
          <w:p>
            <w:pPr>
              <w:pStyle w:val="Compact"/>
            </w:pPr>
            <w:r>
              <w:t xml:space="preserve">Jan.–mars 2026</w:t>
            </w:r>
          </w:p>
        </w:tc>
        <w:tc>
          <w:tcPr/>
          <w:p>
            <w:pPr>
              <w:pStyle w:val="Compact"/>
            </w:pPr>
            <w:r>
              <w:t xml:space="preserve">Rapporter om åpenhet og fordelsprogrammer offentliggjøres; ny kritikk av treg matberedskap.</w:t>
            </w:r>
          </w:p>
        </w:tc>
        <w:tc>
          <w:tcPr/>
          <w:p>
            <w:pPr>
              <w:pStyle w:val="Compact"/>
            </w:pPr>
            <w:r>
              <w:t xml:space="preserve">Dagligvaremakt og beredskap forblir to parallelle hovedspor i offentligheten.</w:t>
            </w:r>
          </w:p>
        </w:tc>
        <w:tc>
          <w:tcPr/>
          <w:p>
            <w:pPr>
              <w:pStyle w:val="Compact"/>
            </w:pPr>
            <w:hyperlink r:id="rId25">
              <w:r>
                <w:rPr>
                  <w:rStyle w:val="Hyperlink"/>
                </w:rPr>
                <w:t xml:space="preserve">[67]</w:t>
              </w:r>
            </w:hyperlink>
          </w:p>
        </w:tc>
      </w:tr>
    </w:tbl>
    <w:p>
      <w:pPr>
        <w:pStyle w:val="BodyText"/>
      </w:pPr>
      <w:r>
        <w:rPr>
          <w:b/>
          <w:bCs/>
        </w:rPr>
        <w:t xml:space="preserve">Fem dominerende narrativer</w:t>
      </w:r>
    </w:p>
    <w:p>
      <w:pPr>
        <w:pStyle w:val="Compact"/>
        <w:numPr>
          <w:ilvl w:val="0"/>
          <w:numId w:val="1001"/>
        </w:numPr>
      </w:pPr>
      <w:r>
        <w:rPr>
          <w:b/>
          <w:bCs/>
        </w:rPr>
        <w:t xml:space="preserve">Mat som kjøpekraftskrise.</w:t>
      </w:r>
      <w:r>
        <w:t xml:space="preserve"> </w:t>
      </w:r>
      <w:r>
        <w:t xml:space="preserve">Dette er det mest vedvarende narrativet i riksmediene fra 2023 og utover, drevet av høy prisvekst og vedvarende usikkerhet om hverdagsøkonomien.</w:t>
      </w:r>
      <w:r>
        <w:t xml:space="preserve"> </w:t>
      </w:r>
      <w:hyperlink r:id="rId40">
        <w:r>
          <w:rPr>
            <w:rStyle w:val="Hyperlink"/>
          </w:rPr>
          <w:t xml:space="preserve">[68]</w:t>
        </w:r>
      </w:hyperlink>
    </w:p>
    <w:p>
      <w:pPr>
        <w:pStyle w:val="Compact"/>
        <w:numPr>
          <w:ilvl w:val="0"/>
          <w:numId w:val="1001"/>
        </w:numPr>
      </w:pPr>
      <w:r>
        <w:rPr>
          <w:b/>
          <w:bCs/>
        </w:rPr>
        <w:t xml:space="preserve">Mat som markedsmakt og konkurranseproblem.</w:t>
      </w:r>
      <w:r>
        <w:t xml:space="preserve"> </w:t>
      </w:r>
      <w:r>
        <w:t xml:space="preserve">Dagligvaremakt, bonusordninger, EMV og prisgjennomsiktighet er blitt et eget politisk og medielt konfliktfelt.</w:t>
      </w:r>
      <w:r>
        <w:t xml:space="preserve"> </w:t>
      </w:r>
      <w:hyperlink r:id="rId31">
        <w:r>
          <w:rPr>
            <w:rStyle w:val="Hyperlink"/>
          </w:rPr>
          <w:t xml:space="preserve">[14]</w:t>
        </w:r>
      </w:hyperlink>
    </w:p>
    <w:p>
      <w:pPr>
        <w:pStyle w:val="Compact"/>
        <w:numPr>
          <w:ilvl w:val="0"/>
          <w:numId w:val="1001"/>
        </w:numPr>
      </w:pPr>
      <w:r>
        <w:rPr>
          <w:b/>
          <w:bCs/>
        </w:rPr>
        <w:t xml:space="preserve">Mat som nasjonal beredskap.</w:t>
      </w:r>
      <w:r>
        <w:t xml:space="preserve"> </w:t>
      </w:r>
      <w:r>
        <w:t xml:space="preserve">Pandemi, krig og revisjonskritikk gjorde matsikkerhet til en del av totalberedskapen.</w:t>
      </w:r>
      <w:r>
        <w:t xml:space="preserve"> </w:t>
      </w:r>
      <w:hyperlink r:id="rId21">
        <w:r>
          <w:rPr>
            <w:rStyle w:val="Hyperlink"/>
          </w:rPr>
          <w:t xml:space="preserve">[69]</w:t>
        </w:r>
      </w:hyperlink>
    </w:p>
    <w:p>
      <w:pPr>
        <w:pStyle w:val="Compact"/>
        <w:numPr>
          <w:ilvl w:val="0"/>
          <w:numId w:val="1001"/>
        </w:numPr>
      </w:pPr>
      <w:r>
        <w:rPr>
          <w:b/>
          <w:bCs/>
        </w:rPr>
        <w:t xml:space="preserve">Mat som distrikts- og produksjonspolitikk.</w:t>
      </w:r>
      <w:r>
        <w:t xml:space="preserve"> </w:t>
      </w:r>
      <w:r>
        <w:t xml:space="preserve">Selvforsyning kobles i stor grad til jordvern, bondens inntekt og produksjon i hele landet.</w:t>
      </w:r>
      <w:r>
        <w:t xml:space="preserve"> </w:t>
      </w:r>
      <w:hyperlink r:id="rId27">
        <w:r>
          <w:rPr>
            <w:rStyle w:val="Hyperlink"/>
          </w:rPr>
          <w:t xml:space="preserve">[70]</w:t>
        </w:r>
      </w:hyperlink>
    </w:p>
    <w:p>
      <w:pPr>
        <w:pStyle w:val="Compact"/>
        <w:numPr>
          <w:ilvl w:val="0"/>
          <w:numId w:val="1001"/>
        </w:numPr>
      </w:pPr>
      <w:r>
        <w:rPr>
          <w:b/>
          <w:bCs/>
        </w:rPr>
        <w:t xml:space="preserve">Matsvinn som moral, ikke fullt ut som systemdesign.</w:t>
      </w:r>
      <w:r>
        <w:t xml:space="preserve"> </w:t>
      </w:r>
      <w:r>
        <w:t xml:space="preserve">Loven i 2025 gjorde temaet politisk synlig, men den brede samtalen ble fortsatt snevrere enn den sirkulære logikken tilsier.</w:t>
      </w:r>
      <w:r>
        <w:t xml:space="preserve"> </w:t>
      </w:r>
      <w:hyperlink r:id="rId32">
        <w:r>
          <w:rPr>
            <w:rStyle w:val="Hyperlink"/>
          </w:rPr>
          <w:t xml:space="preserve">[71]</w:t>
        </w:r>
      </w:hyperlink>
    </w:p>
    <w:p>
      <w:pPr>
        <w:pStyle w:val="FirstParagraph"/>
      </w:pPr>
      <w:r>
        <w:rPr>
          <w:b/>
          <w:bCs/>
        </w:rPr>
        <w:t xml:space="preserve">Fem narrativer som bør styrkes i whitepaper/roadmap</w:t>
      </w:r>
    </w:p>
    <w:p>
      <w:pPr>
        <w:pStyle w:val="Compact"/>
        <w:numPr>
          <w:ilvl w:val="0"/>
          <w:numId w:val="1002"/>
        </w:numPr>
      </w:pPr>
      <w:r>
        <w:rPr>
          <w:b/>
          <w:bCs/>
        </w:rPr>
        <w:t xml:space="preserve">Fra selvforsyningsprosent til faktisk krisetilgang.</w:t>
      </w:r>
      <w:r>
        <w:t xml:space="preserve"> </w:t>
      </w:r>
      <w:r>
        <w:t xml:space="preserve">Flytt fokus fra kun produksjonsmål til distribusjon, last-mile, lager, prioritering og husholdningers reelle tilgang i krise. Dette svarer direkte på hullene som Riksrevisjonen, SIFO og Forbrukerrådet peker på.</w:t>
      </w:r>
      <w:r>
        <w:t xml:space="preserve"> </w:t>
      </w:r>
      <w:hyperlink r:id="rId55">
        <w:r>
          <w:rPr>
            <w:rStyle w:val="Hyperlink"/>
          </w:rPr>
          <w:t xml:space="preserve">[72]</w:t>
        </w:r>
      </w:hyperlink>
    </w:p>
    <w:p>
      <w:pPr>
        <w:pStyle w:val="Compact"/>
        <w:numPr>
          <w:ilvl w:val="0"/>
          <w:numId w:val="1002"/>
        </w:numPr>
      </w:pPr>
      <w:r>
        <w:rPr>
          <w:b/>
          <w:bCs/>
        </w:rPr>
        <w:t xml:space="preserve">Fra matpris til rettferdig verdikjede.</w:t>
      </w:r>
      <w:r>
        <w:t xml:space="preserve"> </w:t>
      </w:r>
      <w:r>
        <w:t xml:space="preserve">Ikke bare “billigere mat”, men mer åpen fordeling av verdi fra jord og hav til butikk og forbruker. Det møter både forbrukerfrustrasjon og bondens inntektsproblem uten å låse seg til ett virkemiddel.</w:t>
      </w:r>
      <w:r>
        <w:t xml:space="preserve"> </w:t>
      </w:r>
      <w:hyperlink r:id="rId26">
        <w:r>
          <w:rPr>
            <w:rStyle w:val="Hyperlink"/>
          </w:rPr>
          <w:t xml:space="preserve">[73]</w:t>
        </w:r>
      </w:hyperlink>
    </w:p>
    <w:p>
      <w:pPr>
        <w:pStyle w:val="Compact"/>
        <w:numPr>
          <w:ilvl w:val="0"/>
          <w:numId w:val="1002"/>
        </w:numPr>
      </w:pPr>
      <w:r>
        <w:rPr>
          <w:b/>
          <w:bCs/>
        </w:rPr>
        <w:t xml:space="preserve">Fra matsvinn til sirkulær ressursbruk.</w:t>
      </w:r>
      <w:r>
        <w:t xml:space="preserve"> </w:t>
      </w:r>
      <w:r>
        <w:t xml:space="preserve">Utvid fortellingen fra “ikke kast maten” til sidestrømmer, fôr, gjenvinning av næringsstoffer, energi og offentlige innkjøp. Det er her sirkularitetsgevinsten ligger, men dette er fortsatt underfortalt.</w:t>
      </w:r>
      <w:r>
        <w:t xml:space="preserve"> </w:t>
      </w:r>
      <w:hyperlink r:id="rId35">
        <w:r>
          <w:rPr>
            <w:rStyle w:val="Hyperlink"/>
          </w:rPr>
          <w:t xml:space="preserve">[74]</w:t>
        </w:r>
      </w:hyperlink>
    </w:p>
    <w:p>
      <w:pPr>
        <w:pStyle w:val="Compact"/>
        <w:numPr>
          <w:ilvl w:val="0"/>
          <w:numId w:val="1002"/>
        </w:numPr>
      </w:pPr>
      <w:r>
        <w:rPr>
          <w:b/>
          <w:bCs/>
        </w:rPr>
        <w:t xml:space="preserve">Fra nasjonale gjennomsnitt til lokal robusthet.</w:t>
      </w:r>
      <w:r>
        <w:t xml:space="preserve"> </w:t>
      </w:r>
      <w:r>
        <w:t xml:space="preserve">Snakk mer om by/land, transportavhengighet, butikkstruktur og kommunal/lokal beredskap. Dette gjør matsystemet mer konkret for folk og mer relevant for regionale aktører.</w:t>
      </w:r>
      <w:r>
        <w:t xml:space="preserve"> </w:t>
      </w:r>
      <w:hyperlink r:id="rId29">
        <w:r>
          <w:rPr>
            <w:rStyle w:val="Hyperlink"/>
          </w:rPr>
          <w:t xml:space="preserve">[75]</w:t>
        </w:r>
      </w:hyperlink>
    </w:p>
    <w:p>
      <w:pPr>
        <w:pStyle w:val="Compact"/>
        <w:numPr>
          <w:ilvl w:val="0"/>
          <w:numId w:val="1002"/>
        </w:numPr>
      </w:pPr>
      <w:r>
        <w:rPr>
          <w:b/>
          <w:bCs/>
        </w:rPr>
        <w:t xml:space="preserve">Fra sektordebatt til matsystemdebatt.</w:t>
      </w:r>
      <w:r>
        <w:t xml:space="preserve"> </w:t>
      </w:r>
      <w:r>
        <w:t xml:space="preserve">Koble mat sammen med folkehelse, klima, natur, beredskap og sosial ulikhet. Stortinget har allerede bestilt denne helheten; whitepaperet bør være stedet der den faktisk formuleres begripelig.</w:t>
      </w:r>
      <w:r>
        <w:t xml:space="preserve"> </w:t>
      </w:r>
      <w:hyperlink r:id="rId23">
        <w:r>
          <w:rPr>
            <w:rStyle w:val="Hyperlink"/>
          </w:rPr>
          <w:t xml:space="preserve">[76]</w:t>
        </w:r>
      </w:hyperlink>
    </w:p>
    <w:p>
      <w:pPr>
        <w:pStyle w:val="FirstParagraph"/>
      </w:pPr>
      <w:r>
        <w:rPr>
          <w:b/>
          <w:bCs/>
        </w:rPr>
        <w:t xml:space="preserve">Forslag til budskap for et offentlig event</w:t>
      </w:r>
    </w:p>
    <w:p>
      <w:pPr>
        <w:pStyle w:val="BodyText"/>
      </w:pPr>
      <w:r>
        <w:t xml:space="preserve">Basert på mønstrene over bør et offentlig arrangement ikke markedsføres som et seminar om “landbruk”, “dagligvare” eller “matsvinn” isolert. Det bør iscenesettes som en samtale om</w:t>
      </w:r>
      <w:r>
        <w:t xml:space="preserve"> </w:t>
      </w:r>
      <w:r>
        <w:rPr>
          <w:b/>
          <w:bCs/>
        </w:rPr>
        <w:t xml:space="preserve">trygg, rettferdig og robust matforsyning</w:t>
      </w:r>
      <w:r>
        <w:t xml:space="preserve">, fordi nettopp denne koblingen samler de sterkeste narrativene i perioden og fyller de tydeligste hullene i dagens debatt. Dette er en analytisk anbefaling basert på mønsteret i mediedekning, partipolitikk og fagrapportering.</w:t>
      </w:r>
      <w:r>
        <w:t xml:space="preserve"> </w:t>
      </w:r>
      <w:hyperlink r:id="rId26">
        <w:r>
          <w:rPr>
            <w:rStyle w:val="Hyperlink"/>
          </w:rPr>
          <w:t xml:space="preserve">[77]</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Målgruppe</w:t>
            </w:r>
          </w:p>
        </w:tc>
        <w:tc>
          <w:tcPr/>
          <w:p>
            <w:pPr>
              <w:pStyle w:val="Compact"/>
            </w:pPr>
            <w:r>
              <w:t xml:space="preserve">Foreslått budskap</w:t>
            </w:r>
          </w:p>
        </w:tc>
        <w:tc>
          <w:tcPr/>
          <w:p>
            <w:pPr>
              <w:pStyle w:val="Compact"/>
            </w:pPr>
            <w:r>
              <w:t xml:space="preserve">Hvorfor det trolig treffer</w:t>
            </w:r>
          </w:p>
        </w:tc>
      </w:tr>
      <w:tr>
        <w:tc>
          <w:tcPr/>
          <w:p>
            <w:pPr>
              <w:pStyle w:val="Compact"/>
            </w:pPr>
            <w:r>
              <w:t xml:space="preserve">Bred offentlighet</w:t>
            </w:r>
          </w:p>
        </w:tc>
        <w:tc>
          <w:tcPr/>
          <w:p>
            <w:pPr>
              <w:pStyle w:val="Compact"/>
            </w:pPr>
            <w:r>
              <w:rPr>
                <w:b/>
                <w:bCs/>
              </w:rPr>
              <w:t xml:space="preserve">“Matberedskap handler ikke bare om hva Norge produserer, men om at maten faktisk når fram når noe svikter.”</w:t>
            </w:r>
          </w:p>
        </w:tc>
        <w:tc>
          <w:tcPr/>
          <w:p>
            <w:pPr>
              <w:pStyle w:val="Compact"/>
            </w:pPr>
            <w:r>
              <w:t xml:space="preserve">Flytter samtalen fra abstrakte prosentmål til konkret hverdagsberedskap.</w:t>
            </w:r>
          </w:p>
        </w:tc>
      </w:tr>
      <w:tr>
        <w:tc>
          <w:tcPr/>
          <w:p>
            <w:pPr>
              <w:pStyle w:val="Compact"/>
            </w:pPr>
            <w:r>
              <w:t xml:space="preserve">Politikere og embetsverk</w:t>
            </w:r>
          </w:p>
        </w:tc>
        <w:tc>
          <w:tcPr/>
          <w:p>
            <w:pPr>
              <w:pStyle w:val="Compact"/>
            </w:pPr>
            <w:r>
              <w:rPr>
                <w:b/>
                <w:bCs/>
              </w:rPr>
              <w:t xml:space="preserve">“Neste steg er ikke flere slagord, men en sammenhengende plan fra selvforsyning til lokal distribusjon, butikkdrift, digitale systemer og husholdningstilgang.”</w:t>
            </w:r>
          </w:p>
        </w:tc>
        <w:tc>
          <w:tcPr/>
          <w:p>
            <w:pPr>
              <w:pStyle w:val="Compact"/>
            </w:pPr>
            <w:r>
              <w:t xml:space="preserve">Svarer på revisjonskritikk og behovet for styring på tvers av departementer.</w:t>
            </w:r>
          </w:p>
        </w:tc>
      </w:tr>
      <w:tr>
        <w:tc>
          <w:tcPr/>
          <w:p>
            <w:pPr>
              <w:pStyle w:val="Compact"/>
            </w:pPr>
            <w:r>
              <w:t xml:space="preserve">Bønder og matnæring</w:t>
            </w:r>
          </w:p>
        </w:tc>
        <w:tc>
          <w:tcPr/>
          <w:p>
            <w:pPr>
              <w:pStyle w:val="Compact"/>
            </w:pPr>
            <w:r>
              <w:rPr>
                <w:b/>
                <w:bCs/>
              </w:rPr>
              <w:t xml:space="preserve">“Rettferdig verdiskaping og sterkere beredskap er to sider av samme sak.”</w:t>
            </w:r>
          </w:p>
        </w:tc>
        <w:tc>
          <w:tcPr/>
          <w:p>
            <w:pPr>
              <w:pStyle w:val="Compact"/>
            </w:pPr>
            <w:r>
              <w:t xml:space="preserve">Kobler bondens økonomi, industriens rolle og statens beredskapsmål i én fortelling.</w:t>
            </w:r>
          </w:p>
        </w:tc>
      </w:tr>
      <w:tr>
        <w:tc>
          <w:tcPr/>
          <w:p>
            <w:pPr>
              <w:pStyle w:val="Compact"/>
            </w:pPr>
            <w:r>
              <w:t xml:space="preserve">Klima-, helse- og ungdomspublikum</w:t>
            </w:r>
          </w:p>
        </w:tc>
        <w:tc>
          <w:tcPr/>
          <w:p>
            <w:pPr>
              <w:pStyle w:val="Compact"/>
            </w:pPr>
            <w:r>
              <w:rPr>
                <w:b/>
                <w:bCs/>
              </w:rPr>
              <w:t xml:space="preserve">“Fremtidens matsystem må gi oss mat som er tryggere, sunnere og mindre sløsende med natur og ressurser.”</w:t>
            </w:r>
          </w:p>
        </w:tc>
        <w:tc>
          <w:tcPr/>
          <w:p>
            <w:pPr>
              <w:pStyle w:val="Compact"/>
            </w:pPr>
            <w:r>
              <w:t xml:space="preserve">Gjør matsystemet relevant utover pris og landbruk, og åpner for klima/folkehelse-språk uten å moralisere.</w:t>
            </w:r>
          </w:p>
        </w:tc>
      </w:tr>
      <w:tr>
        <w:tc>
          <w:tcPr/>
          <w:p>
            <w:pPr>
              <w:pStyle w:val="Compact"/>
            </w:pPr>
            <w:r>
              <w:t xml:space="preserve">Regionale/lokale aktører</w:t>
            </w:r>
          </w:p>
        </w:tc>
        <w:tc>
          <w:tcPr/>
          <w:p>
            <w:pPr>
              <w:pStyle w:val="Compact"/>
            </w:pPr>
            <w:r>
              <w:rPr>
                <w:b/>
                <w:bCs/>
              </w:rPr>
              <w:t xml:space="preserve">“Lokal matberedskap bygges i kommuner, butikker, transportledd og nettverk — ikke bare i nasjonale mål.”</w:t>
            </w:r>
          </w:p>
        </w:tc>
        <w:tc>
          <w:tcPr/>
          <w:p>
            <w:pPr>
              <w:pStyle w:val="Compact"/>
            </w:pPr>
            <w:r>
              <w:t xml:space="preserve">Gir fylker, kommuner og lokale produsenter en tydelig rolle i et ellers nasjonalt narrativ.</w:t>
            </w:r>
          </w:p>
        </w:tc>
      </w:tr>
    </w:tbl>
    <w:p>
      <w:pPr>
        <w:pStyle w:val="BodyText"/>
      </w:pPr>
      <w:r>
        <w:t xml:space="preserve">Det mest treffsikre hovedbudskapet for et slikt event er derfor:</w:t>
      </w:r>
      <w:r>
        <w:t xml:space="preserve"> </w:t>
      </w:r>
      <w:r>
        <w:rPr>
          <w:b/>
          <w:bCs/>
        </w:rPr>
        <w:t xml:space="preserve">“Fra dyrtid til trygghet: hvordan bygger vi et matsystem som tåler krise, gir folk råd og bruker ressursene bedre?”</w:t>
      </w:r>
      <w:r>
        <w:t xml:space="preserve"> </w:t>
      </w:r>
      <w:r>
        <w:t xml:space="preserve">Det virker samlende fordi det snakker inn i alle tre sfærer samtidig: medienes kjøpekraftsvinkel, politikernes beredskaps- og reguleringsvinkel, og ekspertenes system- og robusthetsvinkel.</w:t>
      </w:r>
      <w:r>
        <w:t xml:space="preserve"> </w:t>
      </w:r>
      <w:hyperlink r:id="rId40">
        <w:r>
          <w:rPr>
            <w:rStyle w:val="Hyperlink"/>
          </w:rPr>
          <w:t xml:space="preserve">[78]</w:t>
        </w:r>
      </w:hyperlink>
    </w:p>
    <w:bookmarkEnd w:id="56"/>
    <w:bookmarkEnd w:id="57"/>
    <w:bookmarkEnd w:id="58"/>
    <w:p>
      <w:r>
        <w:pict>
          <v:rect style="width:0;height:1.5pt" o:hralign="center" o:hrstd="t" o:hr="t"/>
        </w:pict>
      </w:r>
    </w:p>
    <w:bookmarkStart w:id="59" w:name="citations"/>
    <w:p>
      <w:pPr>
        <w:pStyle w:val="FirstParagraph"/>
      </w:pPr>
      <w:hyperlink r:id="rId21">
        <w:r>
          <w:rPr>
            <w:rStyle w:val="Hyperlink"/>
          </w:rPr>
          <w:t xml:space="preserve">[1]</w:t>
        </w:r>
      </w:hyperlink>
      <w:r>
        <w:t xml:space="preserve"> </w:t>
      </w:r>
      <w:hyperlink r:id="rId21">
        <w:r>
          <w:rPr>
            <w:rStyle w:val="Hyperlink"/>
          </w:rPr>
          <w:t xml:space="preserve">[4]</w:t>
        </w:r>
      </w:hyperlink>
      <w:r>
        <w:t xml:space="preserve"> </w:t>
      </w:r>
      <w:hyperlink r:id="rId21">
        <w:r>
          <w:rPr>
            <w:rStyle w:val="Hyperlink"/>
          </w:rPr>
          <w:t xml:space="preserve">[10]</w:t>
        </w:r>
      </w:hyperlink>
      <w:r>
        <w:t xml:space="preserve"> </w:t>
      </w:r>
      <w:hyperlink r:id="rId21">
        <w:r>
          <w:rPr>
            <w:rStyle w:val="Hyperlink"/>
          </w:rPr>
          <w:t xml:space="preserve">[15]</w:t>
        </w:r>
      </w:hyperlink>
      <w:r>
        <w:t xml:space="preserve"> </w:t>
      </w:r>
      <w:hyperlink r:id="rId21">
        <w:r>
          <w:rPr>
            <w:rStyle w:val="Hyperlink"/>
          </w:rPr>
          <w:t xml:space="preserve">[42]</w:t>
        </w:r>
      </w:hyperlink>
      <w:r>
        <w:t xml:space="preserve"> </w:t>
      </w:r>
      <w:hyperlink r:id="rId21">
        <w:r>
          <w:rPr>
            <w:rStyle w:val="Hyperlink"/>
          </w:rPr>
          <w:t xml:space="preserve">[58]</w:t>
        </w:r>
      </w:hyperlink>
      <w:r>
        <w:t xml:space="preserve"> </w:t>
      </w:r>
      <w:hyperlink r:id="rId21">
        <w:r>
          <w:rPr>
            <w:rStyle w:val="Hyperlink"/>
          </w:rPr>
          <w:t xml:space="preserve">[69]</w:t>
        </w:r>
      </w:hyperlink>
      <w:r>
        <w:t xml:space="preserve"> </w:t>
      </w:r>
      <w:r>
        <w:t xml:space="preserve">https://www.vg.no/nyheter/i/qLdzGw/matsikkerhet</w:t>
      </w:r>
    </w:p>
    <w:p>
      <w:pPr>
        <w:pStyle w:val="BodyText"/>
      </w:pPr>
      <w:hyperlink r:id="rId21">
        <w:r>
          <w:rPr>
            <w:rStyle w:val="Hyperlink"/>
          </w:rPr>
          <w:t xml:space="preserve">https://www.vg.no/nyheter/i/qLdzGw/matsikkerhet</w:t>
        </w:r>
      </w:hyperlink>
    </w:p>
    <w:p>
      <w:pPr>
        <w:pStyle w:val="BodyText"/>
      </w:pPr>
      <w:hyperlink r:id="rId22">
        <w:r>
          <w:rPr>
            <w:rStyle w:val="Hyperlink"/>
          </w:rPr>
          <w:t xml:space="preserve">[2]</w:t>
        </w:r>
      </w:hyperlink>
      <w:r>
        <w:t xml:space="preserve"> </w:t>
      </w:r>
      <w:hyperlink r:id="rId22">
        <w:r>
          <w:rPr>
            <w:rStyle w:val="Hyperlink"/>
          </w:rPr>
          <w:t xml:space="preserve">[46]</w:t>
        </w:r>
      </w:hyperlink>
      <w:r>
        <w:t xml:space="preserve"> </w:t>
      </w:r>
      <w:r>
        <w:t xml:space="preserve">https://www.stortinget.no/no/Saker-og-publikasjoner/Publikasjoner/Innstillinger/Stortinget/2025-2026/inns-202526-130s/?all=true</w:t>
      </w:r>
    </w:p>
    <w:p>
      <w:pPr>
        <w:pStyle w:val="BodyText"/>
      </w:pPr>
      <w:hyperlink r:id="rId22">
        <w:r>
          <w:rPr>
            <w:rStyle w:val="Hyperlink"/>
          </w:rPr>
          <w:t xml:space="preserve">https://www.stortinget.no/no/Saker-og-publikasjoner/Publikasjoner/Innstillinger/Stortinget/2025-2026/inns-202526-130s/?all=true</w:t>
        </w:r>
      </w:hyperlink>
    </w:p>
    <w:p>
      <w:pPr>
        <w:pStyle w:val="BodyText"/>
      </w:pPr>
      <w:hyperlink r:id="rId23">
        <w:r>
          <w:rPr>
            <w:rStyle w:val="Hyperlink"/>
          </w:rPr>
          <w:t xml:space="preserve">[3]</w:t>
        </w:r>
      </w:hyperlink>
      <w:r>
        <w:t xml:space="preserve"> </w:t>
      </w:r>
      <w:hyperlink r:id="rId23">
        <w:r>
          <w:rPr>
            <w:rStyle w:val="Hyperlink"/>
          </w:rPr>
          <w:t xml:space="preserve">[9]</w:t>
        </w:r>
      </w:hyperlink>
      <w:r>
        <w:t xml:space="preserve"> </w:t>
      </w:r>
      <w:hyperlink r:id="rId23">
        <w:r>
          <w:rPr>
            <w:rStyle w:val="Hyperlink"/>
          </w:rPr>
          <w:t xml:space="preserve">[11]</w:t>
        </w:r>
      </w:hyperlink>
      <w:r>
        <w:t xml:space="preserve"> </w:t>
      </w:r>
      <w:hyperlink r:id="rId23">
        <w:r>
          <w:rPr>
            <w:rStyle w:val="Hyperlink"/>
          </w:rPr>
          <w:t xml:space="preserve">[18]</w:t>
        </w:r>
      </w:hyperlink>
      <w:r>
        <w:t xml:space="preserve"> </w:t>
      </w:r>
      <w:hyperlink r:id="rId23">
        <w:r>
          <w:rPr>
            <w:rStyle w:val="Hyperlink"/>
          </w:rPr>
          <w:t xml:space="preserve">[33]</w:t>
        </w:r>
      </w:hyperlink>
      <w:r>
        <w:t xml:space="preserve"> </w:t>
      </w:r>
      <w:hyperlink r:id="rId23">
        <w:r>
          <w:rPr>
            <w:rStyle w:val="Hyperlink"/>
          </w:rPr>
          <w:t xml:space="preserve">[40]</w:t>
        </w:r>
      </w:hyperlink>
      <w:r>
        <w:t xml:space="preserve"> </w:t>
      </w:r>
      <w:hyperlink r:id="rId23">
        <w:r>
          <w:rPr>
            <w:rStyle w:val="Hyperlink"/>
          </w:rPr>
          <w:t xml:space="preserve">[63]</w:t>
        </w:r>
      </w:hyperlink>
      <w:r>
        <w:t xml:space="preserve"> </w:t>
      </w:r>
      <w:hyperlink r:id="rId23">
        <w:r>
          <w:rPr>
            <w:rStyle w:val="Hyperlink"/>
          </w:rPr>
          <w:t xml:space="preserve">[76]</w:t>
        </w:r>
      </w:hyperlink>
      <w:r>
        <w:t xml:space="preserve"> </w:t>
      </w:r>
      <w:r>
        <w:t xml:space="preserve">https://www.stortinget.no/no/Saker-og-publikasjoner/Publikasjoner/Innstillinger/Stortinget/2023-2024/inns-202324-258s/?all=true</w:t>
      </w:r>
    </w:p>
    <w:p>
      <w:pPr>
        <w:pStyle w:val="BodyText"/>
      </w:pPr>
      <w:hyperlink r:id="rId23">
        <w:r>
          <w:rPr>
            <w:rStyle w:val="Hyperlink"/>
          </w:rPr>
          <w:t xml:space="preserve">https://www.stortinget.no/no/Saker-og-publikasjoner/Publikasjoner/Innstillinger/Stortinget/2023-2024/inns-202324-258s/?all=true</w:t>
        </w:r>
      </w:hyperlink>
    </w:p>
    <w:p>
      <w:pPr>
        <w:pStyle w:val="BodyText"/>
      </w:pPr>
      <w:hyperlink r:id="rId25">
        <w:r>
          <w:rPr>
            <w:rStyle w:val="Hyperlink"/>
          </w:rPr>
          <w:t xml:space="preserve">[5]</w:t>
        </w:r>
      </w:hyperlink>
      <w:r>
        <w:t xml:space="preserve"> </w:t>
      </w:r>
      <w:hyperlink r:id="rId25">
        <w:r>
          <w:rPr>
            <w:rStyle w:val="Hyperlink"/>
          </w:rPr>
          <w:t xml:space="preserve">[67]</w:t>
        </w:r>
      </w:hyperlink>
      <w:r>
        <w:t xml:space="preserve"> </w:t>
      </w:r>
      <w:r>
        <w:t xml:space="preserve">https://www.regjeringen.no/no/aktuelt/ny-rapport-om-krav-til-apenhet-i-dagligvarebransjen/id3147031/</w:t>
      </w:r>
    </w:p>
    <w:p>
      <w:pPr>
        <w:pStyle w:val="BodyText"/>
      </w:pPr>
      <w:hyperlink r:id="rId25">
        <w:r>
          <w:rPr>
            <w:rStyle w:val="Hyperlink"/>
          </w:rPr>
          <w:t xml:space="preserve">https://www.regjeringen.no/no/aktuelt/ny-rapport-om-krav-til-apenhet-i-dagligvarebransjen/id3147031/</w:t>
        </w:r>
      </w:hyperlink>
    </w:p>
    <w:p>
      <w:pPr>
        <w:pStyle w:val="BodyText"/>
      </w:pPr>
      <w:hyperlink r:id="rId26">
        <w:r>
          <w:rPr>
            <w:rStyle w:val="Hyperlink"/>
          </w:rPr>
          <w:t xml:space="preserve">[6]</w:t>
        </w:r>
      </w:hyperlink>
      <w:r>
        <w:t xml:space="preserve"> </w:t>
      </w:r>
      <w:hyperlink r:id="rId26">
        <w:r>
          <w:rPr>
            <w:rStyle w:val="Hyperlink"/>
          </w:rPr>
          <w:t xml:space="preserve">[8]</w:t>
        </w:r>
      </w:hyperlink>
      <w:r>
        <w:t xml:space="preserve"> </w:t>
      </w:r>
      <w:hyperlink r:id="rId26">
        <w:r>
          <w:rPr>
            <w:rStyle w:val="Hyperlink"/>
          </w:rPr>
          <w:t xml:space="preserve">[23]</w:t>
        </w:r>
      </w:hyperlink>
      <w:r>
        <w:t xml:space="preserve"> </w:t>
      </w:r>
      <w:hyperlink r:id="rId26">
        <w:r>
          <w:rPr>
            <w:rStyle w:val="Hyperlink"/>
          </w:rPr>
          <w:t xml:space="preserve">[35]</w:t>
        </w:r>
      </w:hyperlink>
      <w:r>
        <w:t xml:space="preserve"> </w:t>
      </w:r>
      <w:hyperlink r:id="rId26">
        <w:r>
          <w:rPr>
            <w:rStyle w:val="Hyperlink"/>
          </w:rPr>
          <w:t xml:space="preserve">[41]</w:t>
        </w:r>
      </w:hyperlink>
      <w:r>
        <w:t xml:space="preserve"> </w:t>
      </w:r>
      <w:hyperlink r:id="rId26">
        <w:r>
          <w:rPr>
            <w:rStyle w:val="Hyperlink"/>
          </w:rPr>
          <w:t xml:space="preserve">[44]</w:t>
        </w:r>
      </w:hyperlink>
      <w:r>
        <w:t xml:space="preserve"> </w:t>
      </w:r>
      <w:hyperlink r:id="rId26">
        <w:r>
          <w:rPr>
            <w:rStyle w:val="Hyperlink"/>
          </w:rPr>
          <w:t xml:space="preserve">[57]</w:t>
        </w:r>
      </w:hyperlink>
      <w:r>
        <w:t xml:space="preserve"> </w:t>
      </w:r>
      <w:hyperlink r:id="rId26">
        <w:r>
          <w:rPr>
            <w:rStyle w:val="Hyperlink"/>
          </w:rPr>
          <w:t xml:space="preserve">[65]</w:t>
        </w:r>
      </w:hyperlink>
      <w:r>
        <w:t xml:space="preserve"> </w:t>
      </w:r>
      <w:hyperlink r:id="rId26">
        <w:r>
          <w:rPr>
            <w:rStyle w:val="Hyperlink"/>
          </w:rPr>
          <w:t xml:space="preserve">[73]</w:t>
        </w:r>
      </w:hyperlink>
      <w:r>
        <w:t xml:space="preserve"> </w:t>
      </w:r>
      <w:hyperlink r:id="rId26">
        <w:r>
          <w:rPr>
            <w:rStyle w:val="Hyperlink"/>
          </w:rPr>
          <w:t xml:space="preserve">[77]</w:t>
        </w:r>
      </w:hyperlink>
      <w:r>
        <w:t xml:space="preserve"> </w:t>
      </w:r>
      <w:r>
        <w:t xml:space="preserve">https://www.regjeringen.no/no/aktuelt/nye-tiltak-for-bedre-konkurranse-i-dagligvarebransjen/id3101561/</w:t>
      </w:r>
    </w:p>
    <w:p>
      <w:pPr>
        <w:pStyle w:val="BodyText"/>
      </w:pPr>
      <w:hyperlink r:id="rId26">
        <w:r>
          <w:rPr>
            <w:rStyle w:val="Hyperlink"/>
          </w:rPr>
          <w:t xml:space="preserve">https://www.regjeringen.no/no/aktuelt/nye-tiltak-for-bedre-konkurranse-i-dagligvarebransjen/id3101561/</w:t>
        </w:r>
      </w:hyperlink>
    </w:p>
    <w:p>
      <w:pPr>
        <w:pStyle w:val="BodyText"/>
      </w:pPr>
      <w:hyperlink r:id="rId27">
        <w:r>
          <w:rPr>
            <w:rStyle w:val="Hyperlink"/>
          </w:rPr>
          <w:t xml:space="preserve">[7]</w:t>
        </w:r>
      </w:hyperlink>
      <w:r>
        <w:t xml:space="preserve"> </w:t>
      </w:r>
      <w:hyperlink r:id="rId27">
        <w:r>
          <w:rPr>
            <w:rStyle w:val="Hyperlink"/>
          </w:rPr>
          <w:t xml:space="preserve">[20]</w:t>
        </w:r>
      </w:hyperlink>
      <w:r>
        <w:t xml:space="preserve"> </w:t>
      </w:r>
      <w:hyperlink r:id="rId27">
        <w:r>
          <w:rPr>
            <w:rStyle w:val="Hyperlink"/>
          </w:rPr>
          <w:t xml:space="preserve">[37]</w:t>
        </w:r>
      </w:hyperlink>
      <w:r>
        <w:t xml:space="preserve"> </w:t>
      </w:r>
      <w:hyperlink r:id="rId27">
        <w:r>
          <w:rPr>
            <w:rStyle w:val="Hyperlink"/>
          </w:rPr>
          <w:t xml:space="preserve">[70]</w:t>
        </w:r>
      </w:hyperlink>
      <w:r>
        <w:t xml:space="preserve"> </w:t>
      </w:r>
      <w:r>
        <w:t xml:space="preserve">https://www.arbeiderpartiet.no/politikken/landbruk/</w:t>
      </w:r>
    </w:p>
    <w:p>
      <w:pPr>
        <w:pStyle w:val="BodyText"/>
      </w:pPr>
      <w:hyperlink r:id="rId27">
        <w:r>
          <w:rPr>
            <w:rStyle w:val="Hyperlink"/>
          </w:rPr>
          <w:t xml:space="preserve">https://www.arbeiderpartiet.no/politikken/landbruk/</w:t>
        </w:r>
      </w:hyperlink>
    </w:p>
    <w:p>
      <w:pPr>
        <w:pStyle w:val="BodyText"/>
      </w:pPr>
      <w:hyperlink r:id="rId29">
        <w:r>
          <w:rPr>
            <w:rStyle w:val="Hyperlink"/>
          </w:rPr>
          <w:t xml:space="preserve">[12]</w:t>
        </w:r>
      </w:hyperlink>
      <w:r>
        <w:t xml:space="preserve"> </w:t>
      </w:r>
      <w:hyperlink r:id="rId29">
        <w:r>
          <w:rPr>
            <w:rStyle w:val="Hyperlink"/>
          </w:rPr>
          <w:t xml:space="preserve">[43]</w:t>
        </w:r>
      </w:hyperlink>
      <w:r>
        <w:t xml:space="preserve"> </w:t>
      </w:r>
      <w:hyperlink r:id="rId29">
        <w:r>
          <w:rPr>
            <w:rStyle w:val="Hyperlink"/>
          </w:rPr>
          <w:t xml:space="preserve">[75]</w:t>
        </w:r>
      </w:hyperlink>
      <w:r>
        <w:t xml:space="preserve"> </w:t>
      </w:r>
      <w:r>
        <w:t xml:space="preserve">https://konkurransetilsynet.no/rema-aukar-mest-i-marknadsdelar-norgesgruppen-opplever-nedgang/</w:t>
      </w:r>
    </w:p>
    <w:p>
      <w:pPr>
        <w:pStyle w:val="BodyText"/>
      </w:pPr>
      <w:hyperlink r:id="rId29">
        <w:r>
          <w:rPr>
            <w:rStyle w:val="Hyperlink"/>
          </w:rPr>
          <w:t xml:space="preserve">https://konkurransetilsynet.no/rema-aukar-mest-i-marknadsdelar-norgesgruppen-opplever-nedgang/</w:t>
        </w:r>
      </w:hyperlink>
    </w:p>
    <w:p>
      <w:pPr>
        <w:pStyle w:val="BodyText"/>
      </w:pPr>
      <w:hyperlink r:id="rId30">
        <w:r>
          <w:rPr>
            <w:rStyle w:val="Hyperlink"/>
          </w:rPr>
          <w:t xml:space="preserve">[13]</w:t>
        </w:r>
      </w:hyperlink>
      <w:r>
        <w:t xml:space="preserve"> </w:t>
      </w:r>
      <w:hyperlink r:id="rId30">
        <w:r>
          <w:rPr>
            <w:rStyle w:val="Hyperlink"/>
          </w:rPr>
          <w:t xml:space="preserve">[48]</w:t>
        </w:r>
      </w:hyperlink>
      <w:r>
        <w:t xml:space="preserve"> </w:t>
      </w:r>
      <w:hyperlink r:id="rId30">
        <w:r>
          <w:rPr>
            <w:rStyle w:val="Hyperlink"/>
          </w:rPr>
          <w:t xml:space="preserve">[61]</w:t>
        </w:r>
      </w:hyperlink>
      <w:r>
        <w:t xml:space="preserve"> </w:t>
      </w:r>
      <w:r>
        <w:t xml:space="preserve">https://www.nibio.no/tema/landbruksokonomi/matpriser/prisutvikling-2022</w:t>
      </w:r>
    </w:p>
    <w:p>
      <w:pPr>
        <w:pStyle w:val="BodyText"/>
      </w:pPr>
      <w:hyperlink r:id="rId30">
        <w:r>
          <w:rPr>
            <w:rStyle w:val="Hyperlink"/>
          </w:rPr>
          <w:t xml:space="preserve">https://www.nibio.no/tema/landbruksokonomi/matpriser/prisutvikling-2022</w:t>
        </w:r>
      </w:hyperlink>
    </w:p>
    <w:p>
      <w:pPr>
        <w:pStyle w:val="BodyText"/>
      </w:pPr>
      <w:hyperlink r:id="rId31">
        <w:r>
          <w:rPr>
            <w:rStyle w:val="Hyperlink"/>
          </w:rPr>
          <w:t xml:space="preserve">[14]</w:t>
        </w:r>
      </w:hyperlink>
      <w:r>
        <w:t xml:space="preserve"> </w:t>
      </w:r>
      <w:hyperlink r:id="rId31">
        <w:r>
          <w:rPr>
            <w:rStyle w:val="Hyperlink"/>
          </w:rPr>
          <w:t xml:space="preserve">[21]</w:t>
        </w:r>
      </w:hyperlink>
      <w:r>
        <w:t xml:space="preserve"> </w:t>
      </w:r>
      <w:hyperlink r:id="rId31">
        <w:r>
          <w:rPr>
            <w:rStyle w:val="Hyperlink"/>
          </w:rPr>
          <w:t xml:space="preserve">[38]</w:t>
        </w:r>
      </w:hyperlink>
      <w:r>
        <w:t xml:space="preserve"> </w:t>
      </w:r>
      <w:hyperlink r:id="rId31">
        <w:r>
          <w:rPr>
            <w:rStyle w:val="Hyperlink"/>
          </w:rPr>
          <w:t xml:space="preserve">[60]</w:t>
        </w:r>
      </w:hyperlink>
      <w:r>
        <w:t xml:space="preserve"> </w:t>
      </w:r>
      <w:r>
        <w:t xml:space="preserve">https://www.stortinget.no/no/Saker-og-publikasjoner/Publikasjoner/Innstillinger/Stortinget/2021-2022/inns-202122-322s/?all=true</w:t>
      </w:r>
    </w:p>
    <w:p>
      <w:pPr>
        <w:pStyle w:val="BodyText"/>
      </w:pPr>
      <w:hyperlink r:id="rId31">
        <w:r>
          <w:rPr>
            <w:rStyle w:val="Hyperlink"/>
          </w:rPr>
          <w:t xml:space="preserve">https://www.stortinget.no/no/Saker-og-publikasjoner/Publikasjoner/Innstillinger/Stortinget/2021-2022/inns-202122-322s/?all=true</w:t>
        </w:r>
      </w:hyperlink>
    </w:p>
    <w:p>
      <w:pPr>
        <w:pStyle w:val="BodyText"/>
      </w:pPr>
      <w:hyperlink r:id="rId32">
        <w:r>
          <w:rPr>
            <w:rStyle w:val="Hyperlink"/>
          </w:rPr>
          <w:t xml:space="preserve">[16]</w:t>
        </w:r>
      </w:hyperlink>
      <w:r>
        <w:t xml:space="preserve"> </w:t>
      </w:r>
      <w:hyperlink r:id="rId32">
        <w:r>
          <w:rPr>
            <w:rStyle w:val="Hyperlink"/>
          </w:rPr>
          <w:t xml:space="preserve">[31]</w:t>
        </w:r>
      </w:hyperlink>
      <w:r>
        <w:t xml:space="preserve"> </w:t>
      </w:r>
      <w:hyperlink r:id="rId32">
        <w:r>
          <w:rPr>
            <w:rStyle w:val="Hyperlink"/>
          </w:rPr>
          <w:t xml:space="preserve">[49]</w:t>
        </w:r>
      </w:hyperlink>
      <w:r>
        <w:t xml:space="preserve"> </w:t>
      </w:r>
      <w:hyperlink r:id="rId32">
        <w:r>
          <w:rPr>
            <w:rStyle w:val="Hyperlink"/>
          </w:rPr>
          <w:t xml:space="preserve">[56]</w:t>
        </w:r>
      </w:hyperlink>
      <w:r>
        <w:t xml:space="preserve"> </w:t>
      </w:r>
      <w:hyperlink r:id="rId32">
        <w:r>
          <w:rPr>
            <w:rStyle w:val="Hyperlink"/>
          </w:rPr>
          <w:t xml:space="preserve">[66]</w:t>
        </w:r>
      </w:hyperlink>
      <w:r>
        <w:t xml:space="preserve"> </w:t>
      </w:r>
      <w:hyperlink r:id="rId32">
        <w:r>
          <w:rPr>
            <w:rStyle w:val="Hyperlink"/>
          </w:rPr>
          <w:t xml:space="preserve">[71]</w:t>
        </w:r>
      </w:hyperlink>
      <w:r>
        <w:t xml:space="preserve"> </w:t>
      </w:r>
      <w:r>
        <w:t xml:space="preserve">https://www.stortinget.no/no/Saker-og-publikasjoner/Saker/Sak/?p=101812</w:t>
      </w:r>
    </w:p>
    <w:p>
      <w:pPr>
        <w:pStyle w:val="BodyText"/>
      </w:pPr>
      <w:hyperlink r:id="rId32">
        <w:r>
          <w:rPr>
            <w:rStyle w:val="Hyperlink"/>
          </w:rPr>
          <w:t xml:space="preserve">https://www.stortinget.no/no/Saker-og-publikasjoner/Saker/Sak/?p=101812</w:t>
        </w:r>
      </w:hyperlink>
    </w:p>
    <w:p>
      <w:pPr>
        <w:pStyle w:val="BodyText"/>
      </w:pPr>
      <w:hyperlink r:id="rId33">
        <w:r>
          <w:rPr>
            <w:rStyle w:val="Hyperlink"/>
          </w:rPr>
          <w:t xml:space="preserve">[17]</w:t>
        </w:r>
      </w:hyperlink>
      <w:r>
        <w:t xml:space="preserve"> </w:t>
      </w:r>
      <w:r>
        <w:t xml:space="preserve">https://www.regjeringen.no/no/dokumenter/meld.-st.-25-20242025/id3095592/?ch=10</w:t>
      </w:r>
    </w:p>
    <w:p>
      <w:pPr>
        <w:pStyle w:val="BodyText"/>
      </w:pPr>
      <w:hyperlink r:id="rId33">
        <w:r>
          <w:rPr>
            <w:rStyle w:val="Hyperlink"/>
          </w:rPr>
          <w:t xml:space="preserve">https://www.regjeringen.no/no/dokumenter/meld.-st.-25-20242025/id3095592/?ch=10</w:t>
        </w:r>
      </w:hyperlink>
    </w:p>
    <w:p>
      <w:pPr>
        <w:pStyle w:val="BodyText"/>
      </w:pPr>
      <w:hyperlink r:id="rId35">
        <w:r>
          <w:rPr>
            <w:rStyle w:val="Hyperlink"/>
          </w:rPr>
          <w:t xml:space="preserve">[19]</w:t>
        </w:r>
      </w:hyperlink>
      <w:r>
        <w:t xml:space="preserve"> </w:t>
      </w:r>
      <w:hyperlink r:id="rId35">
        <w:r>
          <w:rPr>
            <w:rStyle w:val="Hyperlink"/>
          </w:rPr>
          <w:t xml:space="preserve">[74]</w:t>
        </w:r>
      </w:hyperlink>
      <w:r>
        <w:t xml:space="preserve"> </w:t>
      </w:r>
      <w:r>
        <w:t xml:space="preserve">https://nofima.no/fakta/verdt-a-vite-om-matsystemer/</w:t>
      </w:r>
    </w:p>
    <w:p>
      <w:pPr>
        <w:pStyle w:val="BodyText"/>
      </w:pPr>
      <w:hyperlink r:id="rId35">
        <w:r>
          <w:rPr>
            <w:rStyle w:val="Hyperlink"/>
          </w:rPr>
          <w:t xml:space="preserve">https://nofima.no/fakta/verdt-a-vite-om-matsystemer/</w:t>
        </w:r>
      </w:hyperlink>
    </w:p>
    <w:p>
      <w:pPr>
        <w:pStyle w:val="BodyText"/>
      </w:pPr>
      <w:hyperlink r:id="rId36">
        <w:r>
          <w:rPr>
            <w:rStyle w:val="Hyperlink"/>
          </w:rPr>
          <w:t xml:space="preserve">[22]</w:t>
        </w:r>
      </w:hyperlink>
      <w:r>
        <w:t xml:space="preserve"> </w:t>
      </w:r>
      <w:r>
        <w:t xml:space="preserve">https://www.senterpartiet.no/politikk/stortingsvalgprogram-2025-29/10.jordbruk-fiskeri-og-havbruk-norsk-mat-gir-trygghet</w:t>
      </w:r>
    </w:p>
    <w:p>
      <w:pPr>
        <w:pStyle w:val="BodyText"/>
      </w:pPr>
      <w:hyperlink r:id="rId36">
        <w:r>
          <w:rPr>
            <w:rStyle w:val="Hyperlink"/>
          </w:rPr>
          <w:t xml:space="preserve">https://www.senterpartiet.no/politikk/stortingsvalgprogram-2025-29/10.jordbruk-fiskeri-og-havbruk-norsk-mat-gir-trygghet</w:t>
        </w:r>
      </w:hyperlink>
    </w:p>
    <w:p>
      <w:pPr>
        <w:pStyle w:val="BodyText"/>
      </w:pPr>
      <w:hyperlink r:id="rId37">
        <w:r>
          <w:rPr>
            <w:rStyle w:val="Hyperlink"/>
          </w:rPr>
          <w:t xml:space="preserve">[24]</w:t>
        </w:r>
      </w:hyperlink>
      <w:r>
        <w:t xml:space="preserve"> </w:t>
      </w:r>
      <w:r>
        <w:t xml:space="preserve">https://hoyre.no/politikk/var-politikk/naeringspolitikk/dagligvare-og-handel/</w:t>
      </w:r>
    </w:p>
    <w:p>
      <w:pPr>
        <w:pStyle w:val="BodyText"/>
      </w:pPr>
      <w:hyperlink r:id="rId37">
        <w:r>
          <w:rPr>
            <w:rStyle w:val="Hyperlink"/>
          </w:rPr>
          <w:t xml:space="preserve">https://hoyre.no/politikk/var-politikk/naeringspolitikk/dagligvare-og-handel/</w:t>
        </w:r>
      </w:hyperlink>
    </w:p>
    <w:p>
      <w:pPr>
        <w:pStyle w:val="BodyText"/>
      </w:pPr>
      <w:hyperlink r:id="rId38">
        <w:r>
          <w:rPr>
            <w:rStyle w:val="Hyperlink"/>
          </w:rPr>
          <w:t xml:space="preserve">[25]</w:t>
        </w:r>
      </w:hyperlink>
      <w:r>
        <w:t xml:space="preserve"> </w:t>
      </w:r>
      <w:hyperlink r:id="rId38">
        <w:r>
          <w:rPr>
            <w:rStyle w:val="Hyperlink"/>
          </w:rPr>
          <w:t xml:space="preserve">[47]</w:t>
        </w:r>
      </w:hyperlink>
      <w:r>
        <w:t xml:space="preserve"> </w:t>
      </w:r>
      <w:hyperlink r:id="rId38">
        <w:r>
          <w:rPr>
            <w:rStyle w:val="Hyperlink"/>
          </w:rPr>
          <w:t xml:space="preserve">[55]</w:t>
        </w:r>
      </w:hyperlink>
      <w:r>
        <w:t xml:space="preserve"> </w:t>
      </w:r>
      <w:r>
        <w:t xml:space="preserve">https://www.nibio.no/nyheter/ikkje-lett-a-bli-klok-pa-sjolvforsyning</w:t>
      </w:r>
    </w:p>
    <w:p>
      <w:pPr>
        <w:pStyle w:val="BodyText"/>
      </w:pPr>
      <w:hyperlink r:id="rId38">
        <w:r>
          <w:rPr>
            <w:rStyle w:val="Hyperlink"/>
          </w:rPr>
          <w:t xml:space="preserve">https://www.nibio.no/nyheter/ikkje-lett-a-bli-klok-pa-sjolvforsyning</w:t>
        </w:r>
      </w:hyperlink>
    </w:p>
    <w:p>
      <w:pPr>
        <w:pStyle w:val="BodyText"/>
      </w:pPr>
      <w:hyperlink r:id="rId39">
        <w:r>
          <w:rPr>
            <w:rStyle w:val="Hyperlink"/>
          </w:rPr>
          <w:t xml:space="preserve">[26]</w:t>
        </w:r>
      </w:hyperlink>
      <w:r>
        <w:t xml:space="preserve"> </w:t>
      </w:r>
      <w:r>
        <w:t xml:space="preserve">https://www.frp.no/kjernesaker/okonomi/derfor-bor-vi-halvere-matmomsen</w:t>
      </w:r>
    </w:p>
    <w:p>
      <w:pPr>
        <w:pStyle w:val="BodyText"/>
      </w:pPr>
      <w:hyperlink r:id="rId39">
        <w:r>
          <w:rPr>
            <w:rStyle w:val="Hyperlink"/>
          </w:rPr>
          <w:t xml:space="preserve">https://www.frp.no/kjernesaker/okonomi/derfor-bor-vi-halvere-matmomsen</w:t>
        </w:r>
      </w:hyperlink>
    </w:p>
    <w:p>
      <w:pPr>
        <w:pStyle w:val="BodyText"/>
      </w:pPr>
      <w:hyperlink r:id="rId40">
        <w:r>
          <w:rPr>
            <w:rStyle w:val="Hyperlink"/>
          </w:rPr>
          <w:t xml:space="preserve">[27]</w:t>
        </w:r>
      </w:hyperlink>
      <w:r>
        <w:t xml:space="preserve"> </w:t>
      </w:r>
      <w:hyperlink r:id="rId40">
        <w:r>
          <w:rPr>
            <w:rStyle w:val="Hyperlink"/>
          </w:rPr>
          <w:t xml:space="preserve">[68]</w:t>
        </w:r>
      </w:hyperlink>
      <w:r>
        <w:t xml:space="preserve"> </w:t>
      </w:r>
      <w:hyperlink r:id="rId40">
        <w:r>
          <w:rPr>
            <w:rStyle w:val="Hyperlink"/>
          </w:rPr>
          <w:t xml:space="preserve">[78]</w:t>
        </w:r>
      </w:hyperlink>
      <w:r>
        <w:t xml:space="preserve"> </w:t>
      </w:r>
      <w:r>
        <w:t xml:space="preserve">https://www.ssb.no/priser-og-prisindekser/konsumpriser/statistikk/konsumprisindeksen/artikler/noe-%C3%B8kt-prisvekst-i-desember</w:t>
      </w:r>
    </w:p>
    <w:p>
      <w:pPr>
        <w:pStyle w:val="BodyText"/>
      </w:pPr>
      <w:hyperlink r:id="rId40">
        <w:r>
          <w:rPr>
            <w:rStyle w:val="Hyperlink"/>
          </w:rPr>
          <w:t xml:space="preserve">https://www.ssb.no/priser-og-prisindekser/konsumpriser/statistikk/konsumprisindeksen/artikler/noe-%C3%B8kt-prisvekst-i-desember</w:t>
        </w:r>
      </w:hyperlink>
    </w:p>
    <w:p>
      <w:pPr>
        <w:pStyle w:val="BodyText"/>
      </w:pPr>
      <w:hyperlink r:id="rId41">
        <w:r>
          <w:rPr>
            <w:rStyle w:val="Hyperlink"/>
          </w:rPr>
          <w:t xml:space="preserve">[28]</w:t>
        </w:r>
      </w:hyperlink>
      <w:r>
        <w:t xml:space="preserve"> </w:t>
      </w:r>
      <w:hyperlink r:id="rId41">
        <w:r>
          <w:rPr>
            <w:rStyle w:val="Hyperlink"/>
          </w:rPr>
          <w:t xml:space="preserve">[39]</w:t>
        </w:r>
      </w:hyperlink>
      <w:r>
        <w:t xml:space="preserve"> </w:t>
      </w:r>
      <w:r>
        <w:t xml:space="preserve">https://www.sv.no/blog/a-aa/matvarepriser/</w:t>
      </w:r>
    </w:p>
    <w:p>
      <w:pPr>
        <w:pStyle w:val="BodyText"/>
      </w:pPr>
      <w:hyperlink r:id="rId41">
        <w:r>
          <w:rPr>
            <w:rStyle w:val="Hyperlink"/>
          </w:rPr>
          <w:t xml:space="preserve">https://www.sv.no/blog/a-aa/matvarepriser/</w:t>
        </w:r>
      </w:hyperlink>
    </w:p>
    <w:p>
      <w:pPr>
        <w:pStyle w:val="BodyText"/>
      </w:pPr>
      <w:hyperlink r:id="rId42">
        <w:r>
          <w:rPr>
            <w:rStyle w:val="Hyperlink"/>
          </w:rPr>
          <w:t xml:space="preserve">[29]</w:t>
        </w:r>
      </w:hyperlink>
      <w:r>
        <w:t xml:space="preserve"> </w:t>
      </w:r>
      <w:hyperlink r:id="rId42">
        <w:r>
          <w:rPr>
            <w:rStyle w:val="Hyperlink"/>
          </w:rPr>
          <w:t xml:space="preserve">[36]</w:t>
        </w:r>
      </w:hyperlink>
      <w:r>
        <w:t xml:space="preserve"> </w:t>
      </w:r>
      <w:r>
        <w:t xml:space="preserve">https://krf.no/nyheter/krfs-landbrukspolitikk/</w:t>
      </w:r>
    </w:p>
    <w:p>
      <w:pPr>
        <w:pStyle w:val="BodyText"/>
      </w:pPr>
      <w:hyperlink r:id="rId42">
        <w:r>
          <w:rPr>
            <w:rStyle w:val="Hyperlink"/>
          </w:rPr>
          <w:t xml:space="preserve">https://krf.no/nyheter/krfs-landbrukspolitikk/</w:t>
        </w:r>
      </w:hyperlink>
    </w:p>
    <w:p>
      <w:pPr>
        <w:pStyle w:val="BodyText"/>
      </w:pPr>
      <w:hyperlink r:id="rId43">
        <w:r>
          <w:rPr>
            <w:rStyle w:val="Hyperlink"/>
          </w:rPr>
          <w:t xml:space="preserve">[30]</w:t>
        </w:r>
      </w:hyperlink>
      <w:r>
        <w:t xml:space="preserve"> </w:t>
      </w:r>
      <w:r>
        <w:t xml:space="preserve">https://www.venstre.no/tema/naering-og-skatt/landbruk/</w:t>
      </w:r>
    </w:p>
    <w:p>
      <w:pPr>
        <w:pStyle w:val="BodyText"/>
      </w:pPr>
      <w:hyperlink r:id="rId43">
        <w:r>
          <w:rPr>
            <w:rStyle w:val="Hyperlink"/>
          </w:rPr>
          <w:t xml:space="preserve">https://www.venstre.no/tema/naering-og-skatt/landbruk/</w:t>
        </w:r>
      </w:hyperlink>
    </w:p>
    <w:p>
      <w:pPr>
        <w:pStyle w:val="BodyText"/>
      </w:pPr>
      <w:hyperlink r:id="rId44">
        <w:r>
          <w:rPr>
            <w:rStyle w:val="Hyperlink"/>
          </w:rPr>
          <w:t xml:space="preserve">[32]</w:t>
        </w:r>
      </w:hyperlink>
      <w:r>
        <w:t xml:space="preserve"> </w:t>
      </w:r>
      <w:r>
        <w:t xml:space="preserve">https://mdg.no/politikk/mat-landbruk</w:t>
      </w:r>
    </w:p>
    <w:p>
      <w:pPr>
        <w:pStyle w:val="BodyText"/>
      </w:pPr>
      <w:hyperlink r:id="rId44">
        <w:r>
          <w:rPr>
            <w:rStyle w:val="Hyperlink"/>
          </w:rPr>
          <w:t xml:space="preserve">https://mdg.no/politikk/mat-landbruk</w:t>
        </w:r>
      </w:hyperlink>
    </w:p>
    <w:p>
      <w:pPr>
        <w:pStyle w:val="BodyText"/>
      </w:pPr>
      <w:hyperlink r:id="rId45">
        <w:r>
          <w:rPr>
            <w:rStyle w:val="Hyperlink"/>
          </w:rPr>
          <w:t xml:space="preserve">[34]</w:t>
        </w:r>
      </w:hyperlink>
      <w:r>
        <w:t xml:space="preserve"> </w:t>
      </w:r>
      <w:r>
        <w:t xml:space="preserve">https://roedt.no/landbruk</w:t>
      </w:r>
    </w:p>
    <w:p>
      <w:pPr>
        <w:pStyle w:val="BodyText"/>
      </w:pPr>
      <w:hyperlink r:id="rId45">
        <w:r>
          <w:rPr>
            <w:rStyle w:val="Hyperlink"/>
          </w:rPr>
          <w:t xml:space="preserve">https://roedt.no/landbruk</w:t>
        </w:r>
      </w:hyperlink>
    </w:p>
    <w:p>
      <w:pPr>
        <w:pStyle w:val="BodyText"/>
      </w:pPr>
      <w:hyperlink r:id="rId47">
        <w:r>
          <w:rPr>
            <w:rStyle w:val="Hyperlink"/>
          </w:rPr>
          <w:t xml:space="preserve">[45]</w:t>
        </w:r>
      </w:hyperlink>
      <w:r>
        <w:t xml:space="preserve"> </w:t>
      </w:r>
      <w:hyperlink r:id="rId47">
        <w:r>
          <w:rPr>
            <w:rStyle w:val="Hyperlink"/>
          </w:rPr>
          <w:t xml:space="preserve">[62]</w:t>
        </w:r>
      </w:hyperlink>
      <w:r>
        <w:t xml:space="preserve"> </w:t>
      </w:r>
      <w:r>
        <w:t xml:space="preserve">https://www.riksrevisjonen.no/rapporter-mappe/no-2023-2024/matsikkerhet-og-beredskap-pa-landbruksomradet/</w:t>
      </w:r>
    </w:p>
    <w:p>
      <w:pPr>
        <w:pStyle w:val="BodyText"/>
      </w:pPr>
      <w:hyperlink r:id="rId47">
        <w:r>
          <w:rPr>
            <w:rStyle w:val="Hyperlink"/>
          </w:rPr>
          <w:t xml:space="preserve">https://www.riksrevisjonen.no/rapporter-mappe/no-2023-2024/matsikkerhet-og-beredskap-pa-landbruksomradet/</w:t>
        </w:r>
      </w:hyperlink>
    </w:p>
    <w:p>
      <w:pPr>
        <w:pStyle w:val="BodyText"/>
      </w:pPr>
      <w:hyperlink r:id="rId48">
        <w:r>
          <w:rPr>
            <w:rStyle w:val="Hyperlink"/>
          </w:rPr>
          <w:t xml:space="preserve">[50]</w:t>
        </w:r>
      </w:hyperlink>
      <w:r>
        <w:t xml:space="preserve"> </w:t>
      </w:r>
      <w:r>
        <w:t xml:space="preserve">https://www.oslomet.no/forskning/forskningsnyheter/dyrtiden-det-har-ikke-blitt-noe-bedre</w:t>
      </w:r>
    </w:p>
    <w:p>
      <w:pPr>
        <w:pStyle w:val="BodyText"/>
      </w:pPr>
      <w:hyperlink r:id="rId48">
        <w:r>
          <w:rPr>
            <w:rStyle w:val="Hyperlink"/>
          </w:rPr>
          <w:t xml:space="preserve">https://www.oslomet.no/forskning/forskningsnyheter/dyrtiden-det-har-ikke-blitt-noe-bedre</w:t>
        </w:r>
      </w:hyperlink>
    </w:p>
    <w:p>
      <w:pPr>
        <w:pStyle w:val="BodyText"/>
      </w:pPr>
      <w:hyperlink r:id="rId49">
        <w:r>
          <w:rPr>
            <w:rStyle w:val="Hyperlink"/>
          </w:rPr>
          <w:t xml:space="preserve">[51]</w:t>
        </w:r>
      </w:hyperlink>
      <w:r>
        <w:t xml:space="preserve"> </w:t>
      </w:r>
      <w:hyperlink r:id="rId49">
        <w:r>
          <w:rPr>
            <w:rStyle w:val="Hyperlink"/>
          </w:rPr>
          <w:t xml:space="preserve">[54]</w:t>
        </w:r>
      </w:hyperlink>
      <w:r>
        <w:t xml:space="preserve"> </w:t>
      </w:r>
      <w:r>
        <w:t xml:space="preserve">https://storage02.forbrukerradet.no/media/2026/03/arbeidet-for-matsikkerhet-ma-prioriteres-hoyere.pdf</w:t>
      </w:r>
    </w:p>
    <w:p>
      <w:pPr>
        <w:pStyle w:val="BodyText"/>
      </w:pPr>
      <w:hyperlink r:id="rId49">
        <w:r>
          <w:rPr>
            <w:rStyle w:val="Hyperlink"/>
          </w:rPr>
          <w:t xml:space="preserve">https://storage02.forbrukerradet.no/media/2026/03/arbeidet-for-matsikkerhet-ma-prioriteres-hoyere.pdf</w:t>
        </w:r>
      </w:hyperlink>
    </w:p>
    <w:p>
      <w:pPr>
        <w:pStyle w:val="BodyText"/>
      </w:pPr>
      <w:hyperlink r:id="rId50">
        <w:r>
          <w:rPr>
            <w:rStyle w:val="Hyperlink"/>
          </w:rPr>
          <w:t xml:space="preserve">[52]</w:t>
        </w:r>
      </w:hyperlink>
      <w:r>
        <w:t xml:space="preserve"> </w:t>
      </w:r>
      <w:hyperlink r:id="rId50">
        <w:r>
          <w:rPr>
            <w:rStyle w:val="Hyperlink"/>
          </w:rPr>
          <w:t xml:space="preserve">[53]</w:t>
        </w:r>
      </w:hyperlink>
      <w:r>
        <w:t xml:space="preserve"> </w:t>
      </w:r>
      <w:r>
        <w:t xml:space="preserve">https://www.matvett.no/bransje/aktuelt/husholdningenes-matsvinn-p%C3%A5-stedet-hvil-i-2025</w:t>
      </w:r>
    </w:p>
    <w:p>
      <w:pPr>
        <w:pStyle w:val="BodyText"/>
      </w:pPr>
      <w:hyperlink r:id="rId50">
        <w:r>
          <w:rPr>
            <w:rStyle w:val="Hyperlink"/>
          </w:rPr>
          <w:t xml:space="preserve">https://www.matvett.no/bransje/aktuelt/husholdningenes-matsvinn-p%C3%A5-stedet-hvil-i-2025</w:t>
        </w:r>
      </w:hyperlink>
    </w:p>
    <w:p>
      <w:pPr>
        <w:pStyle w:val="BodyText"/>
      </w:pPr>
      <w:hyperlink r:id="rId53">
        <w:r>
          <w:rPr>
            <w:rStyle w:val="Hyperlink"/>
          </w:rPr>
          <w:t xml:space="preserve">[59]</w:t>
        </w:r>
      </w:hyperlink>
      <w:r>
        <w:t xml:space="preserve"> </w:t>
      </w:r>
      <w:r>
        <w:t xml:space="preserve">https://www.vg.no/nyheter/i/z7Pqab/bedre-foere-var</w:t>
      </w:r>
    </w:p>
    <w:p>
      <w:pPr>
        <w:pStyle w:val="BodyText"/>
      </w:pPr>
      <w:hyperlink r:id="rId53">
        <w:r>
          <w:rPr>
            <w:rStyle w:val="Hyperlink"/>
          </w:rPr>
          <w:t xml:space="preserve">https://www.vg.no/nyheter/i/z7Pqab/bedre-foere-var</w:t>
        </w:r>
      </w:hyperlink>
    </w:p>
    <w:p>
      <w:pPr>
        <w:pStyle w:val="BodyText"/>
      </w:pPr>
      <w:hyperlink r:id="rId54">
        <w:r>
          <w:rPr>
            <w:rStyle w:val="Hyperlink"/>
          </w:rPr>
          <w:t xml:space="preserve">[64]</w:t>
        </w:r>
      </w:hyperlink>
      <w:r>
        <w:t xml:space="preserve"> </w:t>
      </w:r>
      <w:r>
        <w:t xml:space="preserve">https://www.regjeringen.no/no/aktuelt/milepal-for-norsk-beredskap/id3046671/</w:t>
      </w:r>
    </w:p>
    <w:p>
      <w:pPr>
        <w:pStyle w:val="BodyText"/>
      </w:pPr>
      <w:hyperlink r:id="rId54">
        <w:r>
          <w:rPr>
            <w:rStyle w:val="Hyperlink"/>
          </w:rPr>
          <w:t xml:space="preserve">https://www.regjeringen.no/no/aktuelt/milepal-for-norsk-beredskap/id3046671/</w:t>
        </w:r>
      </w:hyperlink>
    </w:p>
    <w:p>
      <w:pPr>
        <w:pStyle w:val="BodyText"/>
      </w:pPr>
      <w:hyperlink r:id="rId55">
        <w:r>
          <w:rPr>
            <w:rStyle w:val="Hyperlink"/>
          </w:rPr>
          <w:t xml:space="preserve">[72]</w:t>
        </w:r>
      </w:hyperlink>
      <w:r>
        <w:t xml:space="preserve"> </w:t>
      </w:r>
      <w:r>
        <w:t xml:space="preserve">https://www.stortinget.no/no/Saker-og-publikasjoner/Publikasjoner/Innstillinger/Stortinget/2023-2024/inns-202324-173s/?all=true</w:t>
      </w:r>
    </w:p>
    <w:p>
      <w:pPr>
        <w:pStyle w:val="BodyText"/>
      </w:pPr>
      <w:hyperlink r:id="rId55">
        <w:r>
          <w:rPr>
            <w:rStyle w:val="Hyperlink"/>
          </w:rPr>
          <w:t xml:space="preserve">https://www.stortinget.no/no/Saker-og-publikasjoner/Publikasjoner/Innstillinger/Stortinget/2023-2024/inns-202324-173s/?all=true</w:t>
        </w:r>
      </w:hyperlink>
    </w:p>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n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7" Target="https://hoyre.no/politikk/var-politikk/naeringspolitikk/dagligvare-og-handel/" TargetMode="External" /><Relationship Type="http://schemas.openxmlformats.org/officeDocument/2006/relationships/hyperlink" Id="rId29" Target="https://konkurransetilsynet.no/rema-aukar-mest-i-marknadsdelar-norgesgruppen-opplever-nedgang/" TargetMode="External" /><Relationship Type="http://schemas.openxmlformats.org/officeDocument/2006/relationships/hyperlink" Id="rId42" Target="https://krf.no/nyheter/krfs-landbrukspolitikk/" TargetMode="External" /><Relationship Type="http://schemas.openxmlformats.org/officeDocument/2006/relationships/hyperlink" Id="rId44" Target="https://mdg.no/politikk/mat-landbruk" TargetMode="External" /><Relationship Type="http://schemas.openxmlformats.org/officeDocument/2006/relationships/hyperlink" Id="rId35" Target="https://nofima.no/fakta/verdt-a-vite-om-matsystemer/" TargetMode="External" /><Relationship Type="http://schemas.openxmlformats.org/officeDocument/2006/relationships/hyperlink" Id="rId45" Target="https://roedt.no/landbruk" TargetMode="External" /><Relationship Type="http://schemas.openxmlformats.org/officeDocument/2006/relationships/hyperlink" Id="rId49" Target="https://storage02.forbrukerradet.no/media/2026/03/arbeidet-for-matsikkerhet-ma-prioriteres-hoyere.pdf" TargetMode="External" /><Relationship Type="http://schemas.openxmlformats.org/officeDocument/2006/relationships/hyperlink" Id="rId27" Target="https://www.arbeiderpartiet.no/politikken/landbruk/" TargetMode="External" /><Relationship Type="http://schemas.openxmlformats.org/officeDocument/2006/relationships/hyperlink" Id="rId39" Target="https://www.frp.no/kjernesaker/okonomi/derfor-bor-vi-halvere-matmomsen" TargetMode="External" /><Relationship Type="http://schemas.openxmlformats.org/officeDocument/2006/relationships/hyperlink" Id="rId50" Target="https://www.matvett.no/bransje/aktuelt/husholdningenes-matsvinn-p%C3%A5-stedet-hvil-i-2025" TargetMode="External" /><Relationship Type="http://schemas.openxmlformats.org/officeDocument/2006/relationships/hyperlink" Id="rId38" Target="https://www.nibio.no/nyheter/ikkje-lett-a-bli-klok-pa-sjolvforsyning" TargetMode="External" /><Relationship Type="http://schemas.openxmlformats.org/officeDocument/2006/relationships/hyperlink" Id="rId30" Target="https://www.nibio.no/tema/landbruksokonomi/matpriser/prisutvikling-2022" TargetMode="External" /><Relationship Type="http://schemas.openxmlformats.org/officeDocument/2006/relationships/hyperlink" Id="rId48" Target="https://www.oslomet.no/forskning/forskningsnyheter/dyrtiden-det-har-ikke-blitt-noe-bedre" TargetMode="External" /><Relationship Type="http://schemas.openxmlformats.org/officeDocument/2006/relationships/hyperlink" Id="rId54" Target="https://www.regjeringen.no/no/aktuelt/milepal-for-norsk-beredskap/id3046671/" TargetMode="External" /><Relationship Type="http://schemas.openxmlformats.org/officeDocument/2006/relationships/hyperlink" Id="rId25" Target="https://www.regjeringen.no/no/aktuelt/ny-rapport-om-krav-til-apenhet-i-dagligvarebransjen/id3147031/" TargetMode="External" /><Relationship Type="http://schemas.openxmlformats.org/officeDocument/2006/relationships/hyperlink" Id="rId26" Target="https://www.regjeringen.no/no/aktuelt/nye-tiltak-for-bedre-konkurranse-i-dagligvarebransjen/id3101561/" TargetMode="External" /><Relationship Type="http://schemas.openxmlformats.org/officeDocument/2006/relationships/hyperlink" Id="rId33" Target="https://www.regjeringen.no/no/dokumenter/meld.-st.-25-20242025/id3095592/?ch=10" TargetMode="External" /><Relationship Type="http://schemas.openxmlformats.org/officeDocument/2006/relationships/hyperlink" Id="rId47" Target="https://www.riksrevisjonen.no/rapporter-mappe/no-2023-2024/matsikkerhet-og-beredskap-pa-landbruksomradet/" TargetMode="External" /><Relationship Type="http://schemas.openxmlformats.org/officeDocument/2006/relationships/hyperlink" Id="rId36" Target="https://www.senterpartiet.no/politikk/stortingsvalgprogram-2025-29/10.jordbruk-fiskeri-og-havbruk-norsk-mat-gir-trygghet" TargetMode="External" /><Relationship Type="http://schemas.openxmlformats.org/officeDocument/2006/relationships/hyperlink" Id="rId40" Target="https://www.ssb.no/priser-og-prisindekser/konsumpriser/statistikk/konsumprisindeksen/artikler/noe-%C3%B8kt-prisvekst-i-desember" TargetMode="External" /><Relationship Type="http://schemas.openxmlformats.org/officeDocument/2006/relationships/hyperlink" Id="rId31" Target="https://www.stortinget.no/no/Saker-og-publikasjoner/Publikasjoner/Innstillinger/Stortinget/2021-2022/inns-202122-322s/?all=true" TargetMode="External" /><Relationship Type="http://schemas.openxmlformats.org/officeDocument/2006/relationships/hyperlink" Id="rId55" Target="https://www.stortinget.no/no/Saker-og-publikasjoner/Publikasjoner/Innstillinger/Stortinget/2023-2024/inns-202324-173s/?all=true" TargetMode="External" /><Relationship Type="http://schemas.openxmlformats.org/officeDocument/2006/relationships/hyperlink" Id="rId23" Target="https://www.stortinget.no/no/Saker-og-publikasjoner/Publikasjoner/Innstillinger/Stortinget/2023-2024/inns-202324-258s/?all=true" TargetMode="External" /><Relationship Type="http://schemas.openxmlformats.org/officeDocument/2006/relationships/hyperlink" Id="rId22" Target="https://www.stortinget.no/no/Saker-og-publikasjoner/Publikasjoner/Innstillinger/Stortinget/2025-2026/inns-202526-130s/?all=true" TargetMode="External" /><Relationship Type="http://schemas.openxmlformats.org/officeDocument/2006/relationships/hyperlink" Id="rId32" Target="https://www.stortinget.no/no/Saker-og-publikasjoner/Saker/Sak/?p=101812" TargetMode="External" /><Relationship Type="http://schemas.openxmlformats.org/officeDocument/2006/relationships/hyperlink" Id="rId41" Target="https://www.sv.no/blog/a-aa/matvarepriser/" TargetMode="External" /><Relationship Type="http://schemas.openxmlformats.org/officeDocument/2006/relationships/hyperlink" Id="rId43" Target="https://www.venstre.no/tema/naering-og-skatt/landbruk/" TargetMode="External" /><Relationship Type="http://schemas.openxmlformats.org/officeDocument/2006/relationships/hyperlink" Id="rId21" Target="https://www.vg.no/nyheter/i/qLdzGw/matsikkerhet" TargetMode="External" /><Relationship Type="http://schemas.openxmlformats.org/officeDocument/2006/relationships/hyperlink" Id="rId53" Target="https://www.vg.no/nyheter/i/z7Pqab/bedre-foere-var" TargetMode="External" /></Relationships>
</file>

<file path=word/_rels/footnotes.xml.rels><?xml version="1.0" encoding="UTF-8"?><Relationships xmlns="http://schemas.openxmlformats.org/package/2006/relationships"><Relationship Type="http://schemas.openxmlformats.org/officeDocument/2006/relationships/hyperlink" Id="rId37" Target="https://hoyre.no/politikk/var-politikk/naeringspolitikk/dagligvare-og-handel/" TargetMode="External" /><Relationship Type="http://schemas.openxmlformats.org/officeDocument/2006/relationships/hyperlink" Id="rId29" Target="https://konkurransetilsynet.no/rema-aukar-mest-i-marknadsdelar-norgesgruppen-opplever-nedgang/" TargetMode="External" /><Relationship Type="http://schemas.openxmlformats.org/officeDocument/2006/relationships/hyperlink" Id="rId42" Target="https://krf.no/nyheter/krfs-landbrukspolitikk/" TargetMode="External" /><Relationship Type="http://schemas.openxmlformats.org/officeDocument/2006/relationships/hyperlink" Id="rId44" Target="https://mdg.no/politikk/mat-landbruk" TargetMode="External" /><Relationship Type="http://schemas.openxmlformats.org/officeDocument/2006/relationships/hyperlink" Id="rId35" Target="https://nofima.no/fakta/verdt-a-vite-om-matsystemer/" TargetMode="External" /><Relationship Type="http://schemas.openxmlformats.org/officeDocument/2006/relationships/hyperlink" Id="rId45" Target="https://roedt.no/landbruk" TargetMode="External" /><Relationship Type="http://schemas.openxmlformats.org/officeDocument/2006/relationships/hyperlink" Id="rId49" Target="https://storage02.forbrukerradet.no/media/2026/03/arbeidet-for-matsikkerhet-ma-prioriteres-hoyere.pdf" TargetMode="External" /><Relationship Type="http://schemas.openxmlformats.org/officeDocument/2006/relationships/hyperlink" Id="rId27" Target="https://www.arbeiderpartiet.no/politikken/landbruk/" TargetMode="External" /><Relationship Type="http://schemas.openxmlformats.org/officeDocument/2006/relationships/hyperlink" Id="rId39" Target="https://www.frp.no/kjernesaker/okonomi/derfor-bor-vi-halvere-matmomsen" TargetMode="External" /><Relationship Type="http://schemas.openxmlformats.org/officeDocument/2006/relationships/hyperlink" Id="rId50" Target="https://www.matvett.no/bransje/aktuelt/husholdningenes-matsvinn-p%C3%A5-stedet-hvil-i-2025" TargetMode="External" /><Relationship Type="http://schemas.openxmlformats.org/officeDocument/2006/relationships/hyperlink" Id="rId38" Target="https://www.nibio.no/nyheter/ikkje-lett-a-bli-klok-pa-sjolvforsyning" TargetMode="External" /><Relationship Type="http://schemas.openxmlformats.org/officeDocument/2006/relationships/hyperlink" Id="rId30" Target="https://www.nibio.no/tema/landbruksokonomi/matpriser/prisutvikling-2022" TargetMode="External" /><Relationship Type="http://schemas.openxmlformats.org/officeDocument/2006/relationships/hyperlink" Id="rId48" Target="https://www.oslomet.no/forskning/forskningsnyheter/dyrtiden-det-har-ikke-blitt-noe-bedre" TargetMode="External" /><Relationship Type="http://schemas.openxmlformats.org/officeDocument/2006/relationships/hyperlink" Id="rId54" Target="https://www.regjeringen.no/no/aktuelt/milepal-for-norsk-beredskap/id3046671/" TargetMode="External" /><Relationship Type="http://schemas.openxmlformats.org/officeDocument/2006/relationships/hyperlink" Id="rId25" Target="https://www.regjeringen.no/no/aktuelt/ny-rapport-om-krav-til-apenhet-i-dagligvarebransjen/id3147031/" TargetMode="External" /><Relationship Type="http://schemas.openxmlformats.org/officeDocument/2006/relationships/hyperlink" Id="rId26" Target="https://www.regjeringen.no/no/aktuelt/nye-tiltak-for-bedre-konkurranse-i-dagligvarebransjen/id3101561/" TargetMode="External" /><Relationship Type="http://schemas.openxmlformats.org/officeDocument/2006/relationships/hyperlink" Id="rId33" Target="https://www.regjeringen.no/no/dokumenter/meld.-st.-25-20242025/id3095592/?ch=10" TargetMode="External" /><Relationship Type="http://schemas.openxmlformats.org/officeDocument/2006/relationships/hyperlink" Id="rId47" Target="https://www.riksrevisjonen.no/rapporter-mappe/no-2023-2024/matsikkerhet-og-beredskap-pa-landbruksomradet/" TargetMode="External" /><Relationship Type="http://schemas.openxmlformats.org/officeDocument/2006/relationships/hyperlink" Id="rId36" Target="https://www.senterpartiet.no/politikk/stortingsvalgprogram-2025-29/10.jordbruk-fiskeri-og-havbruk-norsk-mat-gir-trygghet" TargetMode="External" /><Relationship Type="http://schemas.openxmlformats.org/officeDocument/2006/relationships/hyperlink" Id="rId40" Target="https://www.ssb.no/priser-og-prisindekser/konsumpriser/statistikk/konsumprisindeksen/artikler/noe-%C3%B8kt-prisvekst-i-desember" TargetMode="External" /><Relationship Type="http://schemas.openxmlformats.org/officeDocument/2006/relationships/hyperlink" Id="rId31" Target="https://www.stortinget.no/no/Saker-og-publikasjoner/Publikasjoner/Innstillinger/Stortinget/2021-2022/inns-202122-322s/?all=true" TargetMode="External" /><Relationship Type="http://schemas.openxmlformats.org/officeDocument/2006/relationships/hyperlink" Id="rId55" Target="https://www.stortinget.no/no/Saker-og-publikasjoner/Publikasjoner/Innstillinger/Stortinget/2023-2024/inns-202324-173s/?all=true" TargetMode="External" /><Relationship Type="http://schemas.openxmlformats.org/officeDocument/2006/relationships/hyperlink" Id="rId23" Target="https://www.stortinget.no/no/Saker-og-publikasjoner/Publikasjoner/Innstillinger/Stortinget/2023-2024/inns-202324-258s/?all=true" TargetMode="External" /><Relationship Type="http://schemas.openxmlformats.org/officeDocument/2006/relationships/hyperlink" Id="rId22" Target="https://www.stortinget.no/no/Saker-og-publikasjoner/Publikasjoner/Innstillinger/Stortinget/2025-2026/inns-202526-130s/?all=true" TargetMode="External" /><Relationship Type="http://schemas.openxmlformats.org/officeDocument/2006/relationships/hyperlink" Id="rId32" Target="https://www.stortinget.no/no/Saker-og-publikasjoner/Saker/Sak/?p=101812" TargetMode="External" /><Relationship Type="http://schemas.openxmlformats.org/officeDocument/2006/relationships/hyperlink" Id="rId41" Target="https://www.sv.no/blog/a-aa/matvarepriser/" TargetMode="External" /><Relationship Type="http://schemas.openxmlformats.org/officeDocument/2006/relationships/hyperlink" Id="rId43" Target="https://www.venstre.no/tema/naering-og-skatt/landbruk/" TargetMode="External" /><Relationship Type="http://schemas.openxmlformats.org/officeDocument/2006/relationships/hyperlink" Id="rId21" Target="https://www.vg.no/nyheter/i/qLdzGw/matsikkerhet" TargetMode="External" /><Relationship Type="http://schemas.openxmlformats.org/officeDocument/2006/relationships/hyperlink" Id="rId53" Target="https://www.vg.no/nyheter/i/z7Pqab/bedre-foere-va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nb</dc:language>
  <cp:keywords/>
  <dcterms:created xsi:type="dcterms:W3CDTF">2026-04-20T05:57:50Z</dcterms:created>
  <dcterms:modified xsi:type="dcterms:W3CDTF">2026-04-20T05:57:50Z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