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f611dc57d8bc8dcdc439bcbfc2baf03cfcf9d58"/>
    <w:p>
      <w:pPr>
        <w:pStyle w:val="Heading1"/>
      </w:pPr>
      <w:r>
        <w:t xml:space="preserve">Makt, fryktkultur og svak enforcement i norsk og nordisk dagligvare</w:t>
      </w:r>
    </w:p>
    <w:bookmarkStart w:id="26" w:name="status-og-hovedkonklusjon"/>
    <w:p>
      <w:pPr>
        <w:pStyle w:val="Heading2"/>
      </w:pPr>
      <w:r>
        <w:t xml:space="preserve">Status og hovedkonklusjon</w:t>
      </w:r>
    </w:p>
    <w:p>
      <w:pPr>
        <w:pStyle w:val="FirstParagraph"/>
      </w:pPr>
      <w:r>
        <w:t xml:space="preserve">Per 20. april 2026 er den vedtatte organisatoriske endringen i Norge</w:t>
      </w:r>
      <w:hyperlink r:id="rId21">
        <w:r>
          <w:rPr>
            <w:rStyle w:val="Hyperlink"/>
          </w:rPr>
          <w:t xml:space="preserve">[1]</w:t>
        </w:r>
      </w:hyperlink>
      <w:r>
        <w:t xml:space="preserve"> </w:t>
      </w:r>
      <w:r>
        <w:t xml:space="preserve">at håndhevingen av Lov om god handelsskikk flyttes fra Dagligvaretilsynet til Konkurransetilsynet</w:t>
      </w:r>
      <w:hyperlink r:id="rId22">
        <w:r>
          <w:rPr>
            <w:rStyle w:val="Hyperlink"/>
          </w:rPr>
          <w:t xml:space="preserve">[2]</w:t>
        </w:r>
      </w:hyperlink>
      <w:r>
        <w:t xml:space="preserve"> </w:t>
      </w:r>
      <w:r>
        <w:t xml:space="preserve">fra 30. april 2026. Samtidig er de foreslåtte materielle presiseringene om blant annet betalinger, felles markedsføring og strengere skriftlighet fortsatt ikke vedtatt; saken står fortsatt som under behandling / varslet lovsak fra Nærings- og fiskeridepartementet</w:t>
      </w:r>
      <w:hyperlink r:id="rId23">
        <w:r>
          <w:rPr>
            <w:rStyle w:val="Hyperlink"/>
          </w:rPr>
          <w:t xml:space="preserve">[3]</w:t>
        </w:r>
      </w:hyperlink>
      <w:r>
        <w:t xml:space="preserve"> </w:t>
      </w:r>
      <w:r>
        <w:t xml:space="preserve">til Stortinget</w:t>
      </w:r>
      <w:hyperlink r:id="rId21">
        <w:r>
          <w:rPr>
            <w:rStyle w:val="Hyperlink"/>
          </w:rPr>
          <w:t xml:space="preserve">[4]</w:t>
        </w:r>
      </w:hyperlink>
      <w:r>
        <w:t xml:space="preserve">.</w:t>
      </w:r>
      <w:r>
        <w:t xml:space="preserve"> </w:t>
      </w:r>
      <w:hyperlink r:id="rId24">
        <w:r>
          <w:rPr>
            <w:rStyle w:val="Hyperlink"/>
          </w:rPr>
          <w:t xml:space="preserve">[5]</w:t>
        </w:r>
      </w:hyperlink>
    </w:p>
    <w:p>
      <w:pPr>
        <w:pStyle w:val="BodyText"/>
      </w:pPr>
      <w:r>
        <w:t xml:space="preserve">Kildene peker samlet mot at kjerneproblemet ikke først og fremst er at Norge helt mangler regulering. Problemet er snarere at loven ble utformet som et prosess- og klarhetsregime, ikke som et direkte inngrep i kjøpermakt, hylleadgang, grossistadgang eller fordeling av verdiskaping. Når et slikt lovverk møter et sterkt konsentrert marked med få kjøpere, høy leverandøravhengighet og lav vilje til å klage, blir praktisk enforcement langt svakere enn det den formelle reguleringen kan gi inntrykk av.</w:t>
      </w:r>
      <w:r>
        <w:t xml:space="preserve"> </w:t>
      </w:r>
      <w:hyperlink r:id="rId25">
        <w:r>
          <w:rPr>
            <w:rStyle w:val="Hyperlink"/>
          </w:rPr>
          <w:t xml:space="preserve">[6]</w:t>
        </w:r>
      </w:hyperlink>
    </w:p>
    <w:p>
      <w:pPr>
        <w:pStyle w:val="BodyText"/>
      </w:pPr>
      <w:r>
        <w:t xml:space="preserve">Det mest robuste funnet for norsk whitepaper-argumentasjon er derfor dette: forskjellen mellom formell regulering og faktisk maktutøvelse oppstår i skjæringspunktet mellom fire forhold samtidig — en smal lovdesign, en dialogbasert og indirekte håndhevingsmodell, svak varsling på grunn av frykt for represalier, og strukturell avhengighet av et lite antall kjeder. Av disse fremstår strukturell avhengighet og svak varsling som de viktigste operative barrierene for at loven skal virke i praksis. Dette er min samlede vurdering på tvers av forarbeider, tilsynsrapporter og nordiske myndighetsrapporter.</w:t>
      </w:r>
      <w:r>
        <w:t xml:space="preserve"> </w:t>
      </w:r>
      <w:hyperlink r:id="rId25">
        <w:r>
          <w:rPr>
            <w:rStyle w:val="Hyperlink"/>
          </w:rPr>
          <w:t xml:space="preserve">[7]</w:t>
        </w:r>
      </w:hyperlink>
    </w:p>
    <w:bookmarkEnd w:id="26"/>
    <w:bookmarkStart w:id="30" w:name="funnmatrise"/>
    <w:p>
      <w:pPr>
        <w:pStyle w:val="Heading2"/>
      </w:pPr>
      <w:r>
        <w:t xml:space="preserve">Funnmatrise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Hovedfunn</w:t>
            </w:r>
          </w:p>
        </w:tc>
        <w:tc>
          <w:tcPr/>
          <w:p>
            <w:pPr>
              <w:pStyle w:val="Compact"/>
            </w:pPr>
            <w:r>
              <w:t xml:space="preserve">Kilde</w:t>
            </w:r>
          </w:p>
        </w:tc>
        <w:tc>
          <w:tcPr/>
          <w:p>
            <w:pPr>
              <w:pStyle w:val="Compact"/>
            </w:pPr>
            <w:r>
              <w:t xml:space="preserve">Status</w:t>
            </w:r>
          </w:p>
        </w:tc>
        <w:tc>
          <w:tcPr/>
          <w:p>
            <w:pPr>
              <w:pStyle w:val="Compact"/>
            </w:pPr>
            <w:r>
              <w:t xml:space="preserve">Relevans for norsk whitepaper-argumentasjon</w:t>
            </w:r>
          </w:p>
        </w:tc>
      </w:tr>
      <w:tr>
        <w:tc>
          <w:tcPr/>
          <w:p>
            <w:pPr>
              <w:pStyle w:val="Compact"/>
            </w:pPr>
            <w:r>
              <w:t xml:space="preserve">Lov om god handelsskikk ble utformet for redelighet, forutberegnelighet og kontraktsklarhet, men ikke for å regulere kjøpermakt, forhandlingsmakt eller hylleplassbetaling direkte.</w:t>
            </w:r>
          </w:p>
        </w:tc>
        <w:tc>
          <w:tcPr/>
          <w:p>
            <w:pPr>
              <w:pStyle w:val="Compact"/>
            </w:pPr>
            <w:r>
              <w:t xml:space="preserve">Prop. 33 L (2019–2020); lovtekst og senere høringsnotat.</w:t>
            </w:r>
            <w:r>
              <w:t xml:space="preserve"> </w:t>
            </w:r>
            <w:hyperlink r:id="rId25">
              <w:r>
                <w:rPr>
                  <w:rStyle w:val="Hyperlink"/>
                </w:rPr>
                <w:t xml:space="preserve">[8]</w:t>
              </w:r>
            </w:hyperlink>
          </w:p>
        </w:tc>
        <w:tc>
          <w:tcPr/>
          <w:p>
            <w:pPr>
              <w:pStyle w:val="Compact"/>
            </w:pPr>
            <w:r>
              <w:t xml:space="preserve">Dokumentert</w:t>
            </w:r>
          </w:p>
        </w:tc>
        <w:tc>
          <w:tcPr/>
          <w:p>
            <w:pPr>
              <w:pStyle w:val="Compact"/>
            </w:pPr>
            <w:r>
              <w:t xml:space="preserve">Støtter argumentet om at dagens regime treffer prosessuelle symptomer bedre enn de underliggende maktmekanismene.</w:t>
            </w:r>
          </w:p>
        </w:tc>
      </w:tr>
      <w:tr>
        <w:tc>
          <w:tcPr/>
          <w:p>
            <w:pPr>
              <w:pStyle w:val="Compact"/>
            </w:pPr>
            <w:r>
              <w:t xml:space="preserve">Håndhevingen har vært dialogbasert og indirekte: 12 henvendelser i 2024, null vedtak om overtredelse siden oppstart, og gebyrordningen var opprinnelig utformet som sekundær reaksjon etter vedtak.</w:t>
            </w:r>
          </w:p>
        </w:tc>
        <w:tc>
          <w:tcPr/>
          <w:p>
            <w:pPr>
              <w:pStyle w:val="Compact"/>
            </w:pPr>
            <w:r>
              <w:t xml:space="preserve">Årsrapport 2024; Prop. 4 L (2025–2026); høringsnotat 2025.</w:t>
            </w:r>
            <w:r>
              <w:t xml:space="preserve"> </w:t>
            </w:r>
            <w:hyperlink r:id="rId27">
              <w:r>
                <w:rPr>
                  <w:rStyle w:val="Hyperlink"/>
                </w:rPr>
                <w:t xml:space="preserve">[9]</w:t>
              </w:r>
            </w:hyperlink>
          </w:p>
        </w:tc>
        <w:tc>
          <w:tcPr/>
          <w:p>
            <w:pPr>
              <w:pStyle w:val="Compact"/>
            </w:pPr>
            <w:r>
              <w:t xml:space="preserve">Dokumentert</w:t>
            </w:r>
          </w:p>
        </w:tc>
        <w:tc>
          <w:tcPr/>
          <w:p>
            <w:pPr>
              <w:pStyle w:val="Compact"/>
            </w:pPr>
            <w:r>
              <w:t xml:space="preserve">Underbygger et kjernepoeng om gapet mellom regelverkets eksistens og dets faktiske tvangskraft.</w:t>
            </w:r>
          </w:p>
        </w:tc>
      </w:tr>
      <w:tr>
        <w:tc>
          <w:tcPr/>
          <w:p>
            <w:pPr>
              <w:pStyle w:val="Compact"/>
            </w:pPr>
            <w:r>
              <w:t xml:space="preserve">Frykt for represalier og tap av kundeforhold holder saker unna tilsynet. Dette går igjen fra Matkjedeutvalgets KPMG-baserte intervjuer til nyere funn hos Dagligvaretilsynet, Sverige og Finland.</w:t>
            </w:r>
          </w:p>
        </w:tc>
        <w:tc>
          <w:tcPr/>
          <w:p>
            <w:pPr>
              <w:pStyle w:val="Compact"/>
            </w:pPr>
            <w:r>
              <w:t xml:space="preserve">NOU 2011:4; NOU 2013:6; Dagligvaretilsynets høringssvar 2025; svenske og finske myndighetsrapporter.</w:t>
            </w:r>
            <w:r>
              <w:t xml:space="preserve"> </w:t>
            </w:r>
            <w:hyperlink r:id="rId28">
              <w:r>
                <w:rPr>
                  <w:rStyle w:val="Hyperlink"/>
                </w:rPr>
                <w:t xml:space="preserve">[10]</w:t>
              </w:r>
            </w:hyperlink>
          </w:p>
        </w:tc>
        <w:tc>
          <w:tcPr/>
          <w:p>
            <w:pPr>
              <w:pStyle w:val="Compact"/>
            </w:pPr>
            <w:r>
              <w:t xml:space="preserve">Dokumentert</w:t>
            </w:r>
          </w:p>
        </w:tc>
        <w:tc>
          <w:tcPr/>
          <w:p>
            <w:pPr>
              <w:pStyle w:val="Compact"/>
            </w:pPr>
            <w:r>
              <w:t xml:space="preserve">Støtter argumentet om at svak varsling er et strukturelt, ikke tilfeldig, håndhevingsproblem.</w:t>
            </w:r>
          </w:p>
        </w:tc>
      </w:tr>
      <w:tr>
        <w:tc>
          <w:tcPr/>
          <w:p>
            <w:pPr>
              <w:pStyle w:val="Compact"/>
            </w:pPr>
            <w:r>
              <w:t xml:space="preserve">Joint marketing, muntlige avvik fra skriftlige avtaler og delisting er de tydeligste områdene der formell lovtekst og praktisk atferd divergerer.</w:t>
            </w:r>
          </w:p>
        </w:tc>
        <w:tc>
          <w:tcPr/>
          <w:p>
            <w:pPr>
              <w:pStyle w:val="Compact"/>
            </w:pPr>
            <w:r>
              <w:t xml:space="preserve">Høringsnotat 2025; Årsrapport 2024; samarbeidsrapport 2023; eldre konkurranserapport om hylleplass/JM.</w:t>
            </w:r>
            <w:r>
              <w:t xml:space="preserve"> </w:t>
            </w:r>
            <w:hyperlink r:id="rId21">
              <w:r>
                <w:rPr>
                  <w:rStyle w:val="Hyperlink"/>
                </w:rPr>
                <w:t xml:space="preserve">[11]</w:t>
              </w:r>
            </w:hyperlink>
          </w:p>
        </w:tc>
        <w:tc>
          <w:tcPr/>
          <w:p>
            <w:pPr>
              <w:pStyle w:val="Compact"/>
            </w:pPr>
            <w:r>
              <w:t xml:space="preserve">Dokumentert</w:t>
            </w:r>
          </w:p>
        </w:tc>
        <w:tc>
          <w:tcPr/>
          <w:p>
            <w:pPr>
              <w:pStyle w:val="Compact"/>
            </w:pPr>
            <w:r>
              <w:t xml:space="preserve">Gir konkrete eksempler som kan brukes i whitepaperet for å vise hvordan makt utøves gjennom “tillatte” eller vanskelig bevisbare praksiser.</w:t>
            </w:r>
          </w:p>
        </w:tc>
      </w:tr>
      <w:tr>
        <w:tc>
          <w:tcPr/>
          <w:p>
            <w:pPr>
              <w:pStyle w:val="Compact"/>
            </w:pPr>
            <w:r>
              <w:t xml:space="preserve">Styrket lov eller sterkere tilsyn alene løser ikke problemet. De nordiske erfaringene viser at også bredere UTP-regimer får få klager når leverandørene frykter identifisering eller kommersielle kostnader ved å varsle.</w:t>
            </w:r>
          </w:p>
        </w:tc>
        <w:tc>
          <w:tcPr/>
          <w:p>
            <w:pPr>
              <w:pStyle w:val="Compact"/>
            </w:pPr>
            <w:r>
              <w:t xml:space="preserve">Sverige, Danmark og Finland.</w:t>
            </w:r>
            <w:r>
              <w:t xml:space="preserve"> </w:t>
            </w:r>
            <w:hyperlink r:id="rId29">
              <w:r>
                <w:rPr>
                  <w:rStyle w:val="Hyperlink"/>
                </w:rPr>
                <w:t xml:space="preserve">[12]</w:t>
              </w:r>
            </w:hyperlink>
          </w:p>
        </w:tc>
        <w:tc>
          <w:tcPr/>
          <w:p>
            <w:pPr>
              <w:pStyle w:val="Compact"/>
            </w:pPr>
            <w:r>
              <w:t xml:space="preserve">Dokumentert</w:t>
            </w:r>
          </w:p>
        </w:tc>
        <w:tc>
          <w:tcPr/>
          <w:p>
            <w:pPr>
              <w:pStyle w:val="Compact"/>
            </w:pPr>
            <w:r>
              <w:t xml:space="preserve">Viktig for å unngå et for enkelt “bare flytt tilsynet” eller “bare skriv strengere lov” argument.</w:t>
            </w:r>
          </w:p>
        </w:tc>
      </w:tr>
      <w:tr>
        <w:tc>
          <w:tcPr/>
          <w:p>
            <w:pPr>
              <w:pStyle w:val="Compact"/>
            </w:pPr>
            <w:r>
              <w:t xml:space="preserve">Samarbeidsklimaet kan ha bedret seg, men årsakssammenhengen er uklar: forbedring kan skyldes loven, tilsynets preventive effekt, strategisk tilpasning hos kjedene, eller at konflikter i større grad holdes utenfor formelle spor.</w:t>
            </w:r>
          </w:p>
        </w:tc>
        <w:tc>
          <w:tcPr/>
          <w:p>
            <w:pPr>
              <w:pStyle w:val="Compact"/>
            </w:pPr>
            <w:r>
              <w:t xml:space="preserve">Årsrapport 2024; Prop. 4 L (2025–2026); Dagligvaretilsynets høringssvar 2025.</w:t>
            </w:r>
            <w:r>
              <w:t xml:space="preserve"> </w:t>
            </w:r>
            <w:hyperlink r:id="rId27">
              <w:r>
                <w:rPr>
                  <w:rStyle w:val="Hyperlink"/>
                </w:rPr>
                <w:t xml:space="preserve">[13]</w:t>
              </w:r>
            </w:hyperlink>
          </w:p>
        </w:tc>
        <w:tc>
          <w:tcPr/>
          <w:p>
            <w:pPr>
              <w:pStyle w:val="Compact"/>
            </w:pPr>
            <w:r>
              <w:t xml:space="preserve">Indikativt</w:t>
            </w:r>
          </w:p>
        </w:tc>
        <w:tc>
          <w:tcPr/>
          <w:p>
            <w:pPr>
              <w:pStyle w:val="Compact"/>
            </w:pPr>
            <w:r>
              <w:t xml:space="preserve">Gir whitepaperet nødvendig nyanse og troverdighet: bildet er ikke bare forverring, men forbedring uten tydelig bevis på robust enforcement.</w:t>
            </w:r>
          </w:p>
        </w:tc>
      </w:tr>
    </w:tbl>
    <w:bookmarkEnd w:id="30"/>
    <w:bookmarkStart w:id="39" w:name="norske-hovedfunn"/>
    <w:p>
      <w:pPr>
        <w:pStyle w:val="Heading2"/>
      </w:pPr>
      <w:r>
        <w:t xml:space="preserve">Norske hovedfunn</w:t>
      </w:r>
    </w:p>
    <w:bookmarkStart w:id="31" w:name="X4241861546d3095fab35cb7fc49c5c5f6e2fd34"/>
    <w:p>
      <w:pPr>
        <w:pStyle w:val="Heading3"/>
      </w:pPr>
      <w:r>
        <w:t xml:space="preserve">Lovdesignet er smalere enn problemforståelsen</w:t>
      </w:r>
    </w:p>
    <w:p>
      <w:pPr>
        <w:pStyle w:val="FirstParagraph"/>
      </w:pPr>
      <w:r>
        <w:t xml:space="preserve">Lov om god handelsskikk inneholder klare prosesskrav: § 6 krever skriftlige og klare avtaler, § 8 krever frister, saklig grunn og skriftlig begrunnelse ved delisting når dette kreves, § 10 forbyr ord og handlinger som er egnet til å fremkalle alvorlig frykt, og § 17 åpnet opprinnelig bare for overtredelsesgebyr ved brudd på vedtak etter § 15. Samtidig sa forarbeidene eksplisitt at loven ikke regulerer partenes forhandlingsmakt eller kjedenes kjøpermakt, og departementet valgte å ikke foreslå særregler om distribusjon, betaling for hylleplass eller lignende i det opprinnelige lovforslaget.</w:t>
      </w:r>
      <w:r>
        <w:t xml:space="preserve"> </w:t>
      </w:r>
      <w:hyperlink r:id="rId23">
        <w:r>
          <w:rPr>
            <w:rStyle w:val="Hyperlink"/>
          </w:rPr>
          <w:t xml:space="preserve">[14]</w:t>
        </w:r>
      </w:hyperlink>
    </w:p>
    <w:p>
      <w:pPr>
        <w:pStyle w:val="BodyText"/>
      </w:pPr>
      <w:r>
        <w:t xml:space="preserve">Dette er avgjørende for skillet mellom formell regulering og faktisk enforcement. Loven er i stor grad laget for å forbedre forhandlingsprosessen og kontraktsutformingen, ikke for å bryte opp de strukturelle maktforholdene som gjør at én part ofte kan presse frem resultater uten å etterlate et tydelig, sanksjonerbart spor. Relevansen for whitepaperet er høy, fordi dette forklarer hvorfor mange bransjeaktører kan oppleve at “regulering finnes”, samtidig som de samme aktørene mener at de mest maktfulle praksisene fortsatt består.</w:t>
      </w:r>
      <w:r>
        <w:t xml:space="preserve"> </w:t>
      </w:r>
      <w:hyperlink r:id="rId25">
        <w:r>
          <w:rPr>
            <w:rStyle w:val="Hyperlink"/>
          </w:rPr>
          <w:t xml:space="preserve">[15]</w:t>
        </w:r>
      </w:hyperlink>
    </w:p>
    <w:p>
      <w:pPr>
        <w:pStyle w:val="BodyText"/>
      </w:pPr>
      <w:r>
        <w:t xml:space="preserve">Status:</w:t>
      </w:r>
      <w:r>
        <w:t xml:space="preserve"> </w:t>
      </w:r>
      <w:r>
        <w:rPr>
          <w:b/>
          <w:bCs/>
        </w:rPr>
        <w:t xml:space="preserve">dokumentert</w:t>
      </w:r>
      <w:r>
        <w:t xml:space="preserve">. Kildene er primært forarbeider og lovtekst, altså den mest autoritative typen dokumentasjon på hva loven faktisk skulle regulere.</w:t>
      </w:r>
      <w:r>
        <w:t xml:space="preserve"> </w:t>
      </w:r>
      <w:hyperlink r:id="rId25">
        <w:r>
          <w:rPr>
            <w:rStyle w:val="Hyperlink"/>
          </w:rPr>
          <w:t xml:space="preserve">[16]</w:t>
        </w:r>
      </w:hyperlink>
    </w:p>
    <w:bookmarkEnd w:id="31"/>
    <w:bookmarkStart w:id="33" w:name="X21c8f005b733921971b36bfee820b2577dba481"/>
    <w:p>
      <w:pPr>
        <w:pStyle w:val="Heading3"/>
      </w:pPr>
      <w:r>
        <w:t xml:space="preserve">Håndhevingen er bygget rundt dialog, og sanksjonen kommer sent</w:t>
      </w:r>
    </w:p>
    <w:p>
      <w:pPr>
        <w:pStyle w:val="FirstParagraph"/>
      </w:pPr>
      <w:r>
        <w:t xml:space="preserve">Den norske håndhevingsmodellen ble eksplisitt bygget rundt veiledning og dialog før mer inngripende virkemidler. I den senere høringen i 2025 oppsummerte departementet selv at et sentralt prinsipp i loven har vært at mer inngripende virkemidler ikke bør brukes hvis samme mål kan nås med mindre inngripende midler, og at overtredelsesgebyr derfor skulle være en sekundær reaksjon mot brudd på vedtak. Med andre ord: veien fra problem til sanksjon er lang og trinnvis.</w:t>
      </w:r>
      <w:r>
        <w:t xml:space="preserve"> </w:t>
      </w:r>
      <w:hyperlink r:id="rId21">
        <w:r>
          <w:rPr>
            <w:rStyle w:val="Hyperlink"/>
          </w:rPr>
          <w:t xml:space="preserve">[17]</w:t>
        </w:r>
      </w:hyperlink>
    </w:p>
    <w:p>
      <w:pPr>
        <w:pStyle w:val="BodyText"/>
      </w:pPr>
      <w:r>
        <w:t xml:space="preserve">I praksis har dette gitt et tynt repressivt spor. Dagligvaretilsynets årsrapport for 2024 viser 12 saker tatt opp av leverandører, hvor 7 ble avklart med leverandør uten å ta det opp med kjede, 4 i dialog mellom tilsyn og kjede, og 1 fortsatt under arbeid ved årsslutt. Samme rapport viser 0 informasjonspålegg og 0 andre vedtak. Prop. 4 L oppsummerer at ingen av sakene tilsynet har behandlet siden opprettelsen har ført til vedtak om overtredelse.</w:t>
      </w:r>
      <w:r>
        <w:t xml:space="preserve"> </w:t>
      </w:r>
      <w:hyperlink r:id="rId27">
        <w:r>
          <w:rPr>
            <w:rStyle w:val="Hyperlink"/>
          </w:rPr>
          <w:t xml:space="preserve">[18]</w:t>
        </w:r>
      </w:hyperlink>
    </w:p>
    <w:p>
      <w:pPr>
        <w:pStyle w:val="BodyText"/>
      </w:pPr>
      <w:r>
        <w:t xml:space="preserve">Whitepaper-relevansen er svært høy: den formelle eksistensen av et tilsyn med reaksjonsmidler kan se kraftig ut på papiret, men når sanksjon bare kommer etter en tidligere beslutning, og beslutninger nesten ikke treffes, får regimet begrenset normdannende effekt. Det skaper også en fortolkningssvakhet: når den sentrale normen er en rettslig standard, trenger markedet praksis for å forstå grensene, men få concrète saker betyr lite praksis. Det er nettopp dette Prop. 4 L sier eksplisitt.</w:t>
      </w:r>
      <w:r>
        <w:t xml:space="preserve"> </w:t>
      </w:r>
      <w:hyperlink r:id="rId32">
        <w:r>
          <w:rPr>
            <w:rStyle w:val="Hyperlink"/>
          </w:rPr>
          <w:t xml:space="preserve">[19]</w:t>
        </w:r>
      </w:hyperlink>
    </w:p>
    <w:p>
      <w:pPr>
        <w:pStyle w:val="BodyText"/>
      </w:pPr>
      <w:r>
        <w:t xml:space="preserve">Status:</w:t>
      </w:r>
      <w:r>
        <w:t xml:space="preserve"> </w:t>
      </w:r>
      <w:r>
        <w:rPr>
          <w:b/>
          <w:bCs/>
        </w:rPr>
        <w:t xml:space="preserve">dokumentert</w:t>
      </w:r>
      <w:r>
        <w:t xml:space="preserve">. Her er det liten tvil om faktabildet, siden det bygger på årsrapporter, høringsnotat og proposisjon.</w:t>
      </w:r>
      <w:r>
        <w:t xml:space="preserve"> </w:t>
      </w:r>
      <w:hyperlink r:id="rId27">
        <w:r>
          <w:rPr>
            <w:rStyle w:val="Hyperlink"/>
          </w:rPr>
          <w:t xml:space="preserve">[20]</w:t>
        </w:r>
      </w:hyperlink>
    </w:p>
    <w:bookmarkEnd w:id="33"/>
    <w:bookmarkStart w:id="36" w:name="X08a5a91f9d256a79246551f1793a75cb3af82df"/>
    <w:p>
      <w:pPr>
        <w:pStyle w:val="Heading3"/>
      </w:pPr>
      <w:r>
        <w:t xml:space="preserve">Frykt for represalier er et gjennomgående mønster, ikke bare en eldre bransjemyte</w:t>
      </w:r>
    </w:p>
    <w:p>
      <w:pPr>
        <w:pStyle w:val="FirstParagraph"/>
      </w:pPr>
      <w:r>
        <w:t xml:space="preserve">Det er en påfallende kontinuitet i dokumentasjonen om frykt. Allerede i Matkjedeutvalget</w:t>
      </w:r>
      <w:hyperlink r:id="rId23">
        <w:r>
          <w:rPr>
            <w:rStyle w:val="Hyperlink"/>
          </w:rPr>
          <w:t xml:space="preserve">[21]</w:t>
        </w:r>
      </w:hyperlink>
      <w:r>
        <w:t xml:space="preserve"> </w:t>
      </w:r>
      <w:r>
        <w:t xml:space="preserve">sin NOU ble det beskrevet at leverandører opplevde forhandlingene som en vanskelig prosess, med “konstant og reell trussel” om at viktige produkter kunne bli fjernet dersom enighet ikke ble oppnådd. Samme rapport beskrev frykt for represalier som delisting, dårligere eksponering og krav om høyere rabatter og bonuser.</w:t>
      </w:r>
      <w:r>
        <w:t xml:space="preserve"> </w:t>
      </w:r>
      <w:hyperlink r:id="rId28">
        <w:r>
          <w:rPr>
            <w:rStyle w:val="Hyperlink"/>
          </w:rPr>
          <w:t xml:space="preserve">[22]</w:t>
        </w:r>
      </w:hyperlink>
    </w:p>
    <w:p>
      <w:pPr>
        <w:pStyle w:val="BodyText"/>
      </w:pPr>
      <w:r>
        <w:t xml:space="preserve">Aftenpostens referat av KPMG-materialet som lå til grunn for utvalgsarbeidet viser det samme mer direkte: enkelte potensielle bidragsytere ønsket ikke å la seg intervjue fordi de fryktet å bli identifisert og utsatt for negative konsekvenser. Det er viktig fordi dette ikke bare forteller noe om maktforholdet, men også om hvorfor håndhevingsregimer får for lite input til å fungere godt.</w:t>
      </w:r>
      <w:r>
        <w:t xml:space="preserve"> </w:t>
      </w:r>
      <w:hyperlink r:id="rId34">
        <w:r>
          <w:rPr>
            <w:rStyle w:val="Hyperlink"/>
          </w:rPr>
          <w:t xml:space="preserve">[23]</w:t>
        </w:r>
      </w:hyperlink>
    </w:p>
    <w:p>
      <w:pPr>
        <w:pStyle w:val="BodyText"/>
      </w:pPr>
      <w:r>
        <w:t xml:space="preserve">Det nyere norske bildet peker i samme retning. Dagligvaretilsynet skrev i sitt høringssvar i 2025 at den viktigste årsaken til at henvendelser ikke kommer frem til tilsynet trolig er “kommersiell frykt”, og knyttet dette direkte til at de fleste leverandører må forholde seg til bare tre kunder for å få bred markedsadgang. Tilsynet skrev også at en konflikt som blir offentlig kjent kan få konsekvenser for det fremtidige kundeforholdet, og at konfidensiell behandling derfor er avgjørende.</w:t>
      </w:r>
      <w:r>
        <w:t xml:space="preserve"> </w:t>
      </w:r>
      <w:hyperlink r:id="rId35">
        <w:r>
          <w:rPr>
            <w:rStyle w:val="Hyperlink"/>
          </w:rPr>
          <w:t xml:space="preserve">[24]</w:t>
        </w:r>
      </w:hyperlink>
    </w:p>
    <w:p>
      <w:pPr>
        <w:pStyle w:val="BodyText"/>
      </w:pPr>
      <w:r>
        <w:t xml:space="preserve">Dagligvaretilsynets samarbeidsrapport for 2023 gir mer granularitet, men funnene må leses med varsomhet fordi delutvalgene er små. Rapporten fant indikasjoner på at noen leverandører opplevde alvorlig frykt, at frykten i stor grad ble knyttet til stor markedsmakt snarere enn eksplisitt ulovlige handlinger, og at leverandører som rapporterte alvorlig frykt også rapporterte subtile konsekvenshint og trusler om tiltak knyttet til andre produkter eller andre tema enn den konkrete saken. Dette er et viktig skille: maktutøvelsen kan være reell og disiplinerende selv når den juridiske bevisførselen er svak.</w:t>
      </w:r>
      <w:r>
        <w:t xml:space="preserve"> </w:t>
      </w:r>
      <w:hyperlink r:id="rId22">
        <w:r>
          <w:rPr>
            <w:rStyle w:val="Hyperlink"/>
          </w:rPr>
          <w:t xml:space="preserve">[25]</w:t>
        </w:r>
      </w:hyperlink>
    </w:p>
    <w:p>
      <w:pPr>
        <w:pStyle w:val="BodyText"/>
      </w:pPr>
      <w:r>
        <w:t xml:space="preserve">Whitepaper-relevansen er maksimal. Dette er den sterkeste dokumentasjonslinjen for påstanden om at svak varsling ikke er passivitet, men en rasjonell respons på avhengighet. Status:</w:t>
      </w:r>
      <w:r>
        <w:t xml:space="preserve"> </w:t>
      </w:r>
      <w:r>
        <w:rPr>
          <w:b/>
          <w:bCs/>
        </w:rPr>
        <w:t xml:space="preserve">dokumentert</w:t>
      </w:r>
      <w:r>
        <w:t xml:space="preserve">, mens de mest kvantitative 2023-tallene om frykt bør behandles som</w:t>
      </w:r>
      <w:r>
        <w:t xml:space="preserve"> </w:t>
      </w:r>
      <w:r>
        <w:rPr>
          <w:b/>
          <w:bCs/>
        </w:rPr>
        <w:t xml:space="preserve">indikative</w:t>
      </w:r>
      <w:r>
        <w:t xml:space="preserve"> </w:t>
      </w:r>
      <w:r>
        <w:t xml:space="preserve">på grunn av små delutvalg.</w:t>
      </w:r>
      <w:r>
        <w:t xml:space="preserve"> </w:t>
      </w:r>
      <w:hyperlink r:id="rId28">
        <w:r>
          <w:rPr>
            <w:rStyle w:val="Hyperlink"/>
          </w:rPr>
          <w:t xml:space="preserve">[26]</w:t>
        </w:r>
      </w:hyperlink>
    </w:p>
    <w:bookmarkEnd w:id="36"/>
    <w:bookmarkStart w:id="38" w:name="Xe1f54b0535540e0a53e60c6a7f5021a1c38ff3f"/>
    <w:p>
      <w:pPr>
        <w:pStyle w:val="Heading3"/>
      </w:pPr>
      <w:r>
        <w:t xml:space="preserve">Joint marketing, muntlige avvik og delisting viser gapet mellom regel og praksis tydeligst</w:t>
      </w:r>
    </w:p>
    <w:p>
      <w:pPr>
        <w:pStyle w:val="FirstParagraph"/>
      </w:pPr>
      <w:r>
        <w:t xml:space="preserve">På papiret krever § 6 skriftlighet og klarhet, og § 8 krever blant annet saklig grunn og begrunnelse ved delisting. I praksis viser offentlige kilder vedvarende konflikt særlig på tre områder: felles markedsføring / joint marketing, muntlige sideforståelser og delisting uten tydelig grunn.</w:t>
      </w:r>
      <w:r>
        <w:t xml:space="preserve"> </w:t>
      </w:r>
      <w:hyperlink r:id="rId23">
        <w:r>
          <w:rPr>
            <w:rStyle w:val="Hyperlink"/>
          </w:rPr>
          <w:t xml:space="preserve">[27]</w:t>
        </w:r>
      </w:hyperlink>
    </w:p>
    <w:p>
      <w:pPr>
        <w:pStyle w:val="BodyText"/>
      </w:pPr>
      <w:r>
        <w:t xml:space="preserve">Nærings- og fiskeridepartementets høringsnotat fra 2025 sier rett ut at rabatter og betalinger ikke er eksplisitt regulert i gjeldende lov, at det er en særlig bekymring for ubalanse mellom betalinger og ytelser, og at det derfor foreslås å lovfeste at betalinger for tjenester skal stå i et rimelig forhold til kostnaden ved å levere tjenesten. Samme notat viser til vedvarende uenighet om hva ulike rabatter og betalinger faktisk skal dekke, og at 13–17 prosent av leverandørene i 2024 svarte at det i tillegg til skriftlige avtaler også ble inngått muntlige avtaler med de tre største kjedene.</w:t>
      </w:r>
      <w:r>
        <w:t xml:space="preserve"> </w:t>
      </w:r>
      <w:hyperlink r:id="rId21">
        <w:r>
          <w:rPr>
            <w:rStyle w:val="Hyperlink"/>
          </w:rPr>
          <w:t xml:space="preserve">[28]</w:t>
        </w:r>
      </w:hyperlink>
    </w:p>
    <w:p>
      <w:pPr>
        <w:pStyle w:val="BodyText"/>
      </w:pPr>
      <w:r>
        <w:t xml:space="preserve">Dagligvaretilsynets årsrapport for 2024 forsterker dette bildet. Tilsynet skriver at joint marketing fortsatt er et område med uenighet, særlig om manglende kompensasjon når avtalte aktiviteter ikke gjennomføres, og om at kjedene svekker avtalte JM-aktiviteter med aktivitet på egne merkevarer. Tilsynet skriver også at over en tredjedel av leverandørrepresentantene opplever at delisting skjer uten saklig begrunnet forklaring i de tre store kjedene.</w:t>
      </w:r>
      <w:r>
        <w:t xml:space="preserve"> </w:t>
      </w:r>
      <w:hyperlink r:id="rId27">
        <w:r>
          <w:rPr>
            <w:rStyle w:val="Hyperlink"/>
          </w:rPr>
          <w:t xml:space="preserve">[29]</w:t>
        </w:r>
      </w:hyperlink>
    </w:p>
    <w:p>
      <w:pPr>
        <w:pStyle w:val="BodyText"/>
      </w:pPr>
      <w:r>
        <w:t xml:space="preserve">I samarbeidsrapporten for 2023 finner Dagligvaretilsynet dessuten at svært små andeler av leverandørene opplever å få forholdsmessig reduksjon i betaling for JM når kjeden ikke gjennomfører avtalte aktiviteter, og at leverandører opplever etterligninger og vegrer seg for å ta dette opp med kjedene. Tilsynet kommenterer selv at dette indikerer at leverandører vegrer seg også for å kontakte kjedene direkte om slike forhold.</w:t>
      </w:r>
      <w:r>
        <w:t xml:space="preserve"> </w:t>
      </w:r>
      <w:hyperlink r:id="rId22">
        <w:r>
          <w:rPr>
            <w:rStyle w:val="Hyperlink"/>
          </w:rPr>
          <w:t xml:space="preserve">[30]</w:t>
        </w:r>
      </w:hyperlink>
    </w:p>
    <w:p>
      <w:pPr>
        <w:pStyle w:val="BodyText"/>
      </w:pPr>
      <w:r>
        <w:t xml:space="preserve">Dette passer godt med eldre, men fortsatt relevante, konkurransekilder. En tidligere rapport fra Konkurransetilsynet beskrev at betaling for felles markedsføring ofte inneholder et betydelig profittoverføringselement utover direkte markedsføringskostnader, og at slike avtaler kan blandes sammen med betaling for plassering, kampanjer og ulike lojalitetsskapende elementer. Mekanisk sett er dette et område der makt kan utøves gjennom komplekse og til dels lovlige kontraktsformer, uten at rettsstridigheten alltid lar seg avgrense enkelt.</w:t>
      </w:r>
      <w:r>
        <w:t xml:space="preserve"> </w:t>
      </w:r>
      <w:hyperlink r:id="rId37">
        <w:r>
          <w:rPr>
            <w:rStyle w:val="Hyperlink"/>
          </w:rPr>
          <w:t xml:space="preserve">[31]</w:t>
        </w:r>
      </w:hyperlink>
    </w:p>
    <w:p>
      <w:pPr>
        <w:pStyle w:val="BodyText"/>
      </w:pPr>
      <w:r>
        <w:t xml:space="preserve">Whitepaper-relevansen er svært høy, fordi dette gir konkrete, norske og kildebelagte eksempler på hva dagens regime ikke helt klarer å gripe. Status:</w:t>
      </w:r>
      <w:r>
        <w:t xml:space="preserve"> </w:t>
      </w:r>
      <w:r>
        <w:rPr>
          <w:b/>
          <w:bCs/>
        </w:rPr>
        <w:t xml:space="preserve">dokumentert</w:t>
      </w:r>
      <w:r>
        <w:t xml:space="preserve"> </w:t>
      </w:r>
      <w:r>
        <w:t xml:space="preserve">for konfliktområdene som sådan; enkelte selvrapporterte surveyfunn om omfang er</w:t>
      </w:r>
      <w:r>
        <w:t xml:space="preserve"> </w:t>
      </w:r>
      <w:r>
        <w:rPr>
          <w:b/>
          <w:bCs/>
        </w:rPr>
        <w:t xml:space="preserve">indikative</w:t>
      </w:r>
      <w:r>
        <w:t xml:space="preserve"> </w:t>
      </w:r>
      <w:r>
        <w:t xml:space="preserve">og bør omtales som det.</w:t>
      </w:r>
      <w:r>
        <w:t xml:space="preserve"> </w:t>
      </w:r>
      <w:hyperlink r:id="rId21">
        <w:r>
          <w:rPr>
            <w:rStyle w:val="Hyperlink"/>
          </w:rPr>
          <w:t xml:space="preserve">[32]</w:t>
        </w:r>
      </w:hyperlink>
    </w:p>
    <w:bookmarkEnd w:id="38"/>
    <w:bookmarkEnd w:id="39"/>
    <w:bookmarkStart w:id="45" w:name="nordiske-sammenligninger"/>
    <w:p>
      <w:pPr>
        <w:pStyle w:val="Heading2"/>
      </w:pPr>
      <w:r>
        <w:t xml:space="preserve">Nordiske sammenligninger</w:t>
      </w:r>
    </w:p>
    <w:p>
      <w:pPr>
        <w:pStyle w:val="FirstParagraph"/>
      </w:pPr>
      <w:r>
        <w:t xml:space="preserve">I Sverige</w:t>
      </w:r>
      <w:hyperlink r:id="rId35">
        <w:r>
          <w:rPr>
            <w:rStyle w:val="Hyperlink"/>
          </w:rPr>
          <w:t xml:space="preserve">[33]</w:t>
        </w:r>
      </w:hyperlink>
      <w:r>
        <w:t xml:space="preserve"> </w:t>
      </w:r>
      <w:r>
        <w:t xml:space="preserve">har Konkurrensverket</w:t>
      </w:r>
      <w:hyperlink r:id="rId40">
        <w:r>
          <w:rPr>
            <w:rStyle w:val="Hyperlink"/>
          </w:rPr>
          <w:t xml:space="preserve">[34]</w:t>
        </w:r>
      </w:hyperlink>
      <w:r>
        <w:t xml:space="preserve"> </w:t>
      </w:r>
      <w:r>
        <w:t xml:space="preserve">et bredere UTP-regime enn Norge, og evalueringen fra 2025 viser at myndigheten hadde avsluttet flere saker og ilagt sanktionsavgift i fire saker fram til 31. oktober 2025. Samtidig viser den samme evalueringen at leverandører uttrykker skepsis til å anmelde fordi de frykter at anonymiteten ikke kan opprettholdes og at de kan miste en kunde. Evalueringen sier også at sanksjonene har hatt en viss effekt gjennom selvretting, men at kunnskapen om loven fortsatt er lav blant leverandører.</w:t>
      </w:r>
      <w:r>
        <w:t xml:space="preserve"> </w:t>
      </w:r>
      <w:hyperlink r:id="rId29">
        <w:r>
          <w:rPr>
            <w:rStyle w:val="Hyperlink"/>
          </w:rPr>
          <w:t xml:space="preserve">[35]</w:t>
        </w:r>
      </w:hyperlink>
    </w:p>
    <w:p>
      <w:pPr>
        <w:pStyle w:val="BodyText"/>
      </w:pPr>
      <w:r>
        <w:t xml:space="preserve">Det svenske materialet er særlig relevant fordi det samtidig viser at grålistet praksis — som krav om betaling for markedsføringskostnader og rabattfinansiering — fortsatt er utbredt i surveyene, og fordi Konkurrensverket eksplisitt har observert at skriftlige avtaler i flere tilfeller ikke etterleves i praksis, men suppleres eller forskyves av muntlige avtaler til fordel for den sterkere parten. Det gjør Sverige til et nyttig kontrollpunkt: bredere lov og flere sanksjoner gir mer rettspraksis enn i Norge, men løser ikke alene problemet med underanmeldelse og avhengighet.</w:t>
      </w:r>
      <w:r>
        <w:t xml:space="preserve"> </w:t>
      </w:r>
      <w:hyperlink r:id="rId29">
        <w:r>
          <w:rPr>
            <w:rStyle w:val="Hyperlink"/>
          </w:rPr>
          <w:t xml:space="preserve">[36]</w:t>
        </w:r>
      </w:hyperlink>
    </w:p>
    <w:p>
      <w:pPr>
        <w:pStyle w:val="BodyText"/>
      </w:pPr>
      <w:r>
        <w:t xml:space="preserve">I Danmark</w:t>
      </w:r>
      <w:hyperlink r:id="rId21">
        <w:r>
          <w:rPr>
            <w:rStyle w:val="Hyperlink"/>
          </w:rPr>
          <w:t xml:space="preserve">[37]</w:t>
        </w:r>
      </w:hyperlink>
      <w:r>
        <w:t xml:space="preserve"> </w:t>
      </w:r>
      <w:r>
        <w:t xml:space="preserve">har Konkurrence- og Forbrugerstyrelsen</w:t>
      </w:r>
      <w:hyperlink r:id="rId41">
        <w:r>
          <w:rPr>
            <w:rStyle w:val="Hyperlink"/>
          </w:rPr>
          <w:t xml:space="preserve">[38]</w:t>
        </w:r>
      </w:hyperlink>
      <w:r>
        <w:t xml:space="preserve"> </w:t>
      </w:r>
      <w:r>
        <w:t xml:space="preserve">evaluert fødevarehandelsloven i 2024. Styrelsen opplyser at den siden loven trådte i kraft bare hadde mottatt én klage, og at denne senere ble trukket. Det var derfor ikke truffet avgjørelser etter loven. Samtidig mener styrelsen at virksomhetene i stor grad har tilpasset seg reglene, og at leverandører, kjøpere og bransjeorganisasjoner i stor grad løser utfordringer gjennom dialog. Evalueringen fremhever også at visse praktiske problemer fortsatt knytter seg til kravet om “klare og utvetydige” vilkår og til betalingskrav som ikke vedrører leverandørens salg.</w:t>
      </w:r>
      <w:r>
        <w:t xml:space="preserve"> </w:t>
      </w:r>
      <w:hyperlink r:id="rId42">
        <w:r>
          <w:rPr>
            <w:rStyle w:val="Hyperlink"/>
          </w:rPr>
          <w:t xml:space="preserve">[39]</w:t>
        </w:r>
      </w:hyperlink>
    </w:p>
    <w:p>
      <w:pPr>
        <w:pStyle w:val="BodyText"/>
      </w:pPr>
      <w:r>
        <w:t xml:space="preserve">Danmark illustrerer dermed en viktig nordisk lærdom: fravær av formelle klager kan tolkes enten som regeltilpasning eller som at konflikter presses inn i private og uformelle spor. Offisielle danske kilder heller mot den første tolkningen, men de samme kildene erkjenner også at enkelte praktiske anvendelsesproblemer består. For whitepaperet betyr det at “få saker” ikke kan brukes som rent bevis verken for at et regime virker perfekt eller for at det er irrelevant; tolkningen avhenger av hvordan klageterskler, anonymitet og avhengighet ser ut i markedet.</w:t>
      </w:r>
      <w:r>
        <w:t xml:space="preserve"> </w:t>
      </w:r>
      <w:hyperlink r:id="rId42">
        <w:r>
          <w:rPr>
            <w:rStyle w:val="Hyperlink"/>
          </w:rPr>
          <w:t xml:space="preserve">[40]</w:t>
        </w:r>
      </w:hyperlink>
    </w:p>
    <w:p>
      <w:pPr>
        <w:pStyle w:val="BodyText"/>
      </w:pPr>
      <w:r>
        <w:t xml:space="preserve">I Finland</w:t>
      </w:r>
      <w:hyperlink r:id="rId41">
        <w:r>
          <w:rPr>
            <w:rStyle w:val="Hyperlink"/>
          </w:rPr>
          <w:t xml:space="preserve">[41]</w:t>
        </w:r>
      </w:hyperlink>
      <w:r>
        <w:t xml:space="preserve"> </w:t>
      </w:r>
      <w:r>
        <w:t xml:space="preserve">har Elintarvikemarkkinavaltuutettu</w:t>
      </w:r>
      <w:hyperlink r:id="rId21">
        <w:r>
          <w:rPr>
            <w:rStyle w:val="Hyperlink"/>
          </w:rPr>
          <w:t xml:space="preserve">[42]</w:t>
        </w:r>
      </w:hyperlink>
      <w:r>
        <w:t xml:space="preserve"> </w:t>
      </w:r>
      <w:r>
        <w:t xml:space="preserve">et regime som uttrykkelig er innrettet også med mulighet for egne initiativ og kontakt gjennom organisasjoner, og den finske Food Market Act ble utvidet i 2021 for å dekke UTP-direktivets vern av den svakere parten. Likevel viser ombudsmannens aktivitetsrapport for 2024 at terskelen for å sende inn håndhevingsanmodninger fortsatt er høy, at kommersiell frykt for mottiltak er en av de viktigste grunnene, og at kontoret derfor i større grad har måttet bygge anonyme kanaler og bruke bransjevise spørreundersøkelser for å fange opp problemer.</w:t>
      </w:r>
      <w:r>
        <w:t xml:space="preserve"> </w:t>
      </w:r>
      <w:hyperlink r:id="rId43">
        <w:r>
          <w:rPr>
            <w:rStyle w:val="Hyperlink"/>
          </w:rPr>
          <w:t xml:space="preserve">[43]</w:t>
        </w:r>
      </w:hyperlink>
    </w:p>
    <w:p>
      <w:pPr>
        <w:pStyle w:val="BodyText"/>
      </w:pPr>
      <w:r>
        <w:t xml:space="preserve">De finske surveyene er også interessante substantielt. I frukt- og bærsektoren oppga 40 prosent av de spurte at ensidige endringer i kontraktsvilkår var det største problemet; i drikkevaresektoren oppga et flertall problemer knyttet til betalingstider. Finland viser dermed en mulig institusjonell løsning som er mer proaktiv enn den norske: når klager ikke kommer, kan tilsynet forsøke å generere kunnskap gjennom sektorundersøkelser og anonyme innmeldinger. Men også det finske eksempelet viser at den underliggende avhengigheten ikke forsvinner av at regelverket blir bredere.</w:t>
      </w:r>
      <w:r>
        <w:t xml:space="preserve"> </w:t>
      </w:r>
      <w:hyperlink r:id="rId44">
        <w:r>
          <w:rPr>
            <w:rStyle w:val="Hyperlink"/>
          </w:rPr>
          <w:t xml:space="preserve">[44]</w:t>
        </w:r>
      </w:hyperlink>
    </w:p>
    <w:p>
      <w:pPr>
        <w:pStyle w:val="BodyText"/>
      </w:pPr>
      <w:r>
        <w:t xml:space="preserve">Sammenlignet med de andre nordiske landene skiller Norge seg på to punkter. For det første er den norske loven smalere i materiell rekkevidde enn UTP-regimene i Sverige, Danmark og Finland, særlig når det gjelder svarteliste/gråliste-logikken og klagearkitekturen. For det andre har Norge hittil hatt en særlig indirekte sanksjonskjede der gebyr var knyttet til brudd på vedtak, ikke direkte til lovbrudd. Dette gjør at Norge både har hatt mindre materiell dekning og færre håndhevingsanledninger enn flere av nabolandene.</w:t>
      </w:r>
      <w:r>
        <w:t xml:space="preserve"> </w:t>
      </w:r>
      <w:hyperlink r:id="rId41">
        <w:r>
          <w:rPr>
            <w:rStyle w:val="Hyperlink"/>
          </w:rPr>
          <w:t xml:space="preserve">[45]</w:t>
        </w:r>
      </w:hyperlink>
    </w:p>
    <w:bookmarkEnd w:id="45"/>
    <w:bookmarkStart w:id="47" w:name="X3a03e54c2b0fbd6ec643e2628c491bd6e07d24f"/>
    <w:p>
      <w:pPr>
        <w:pStyle w:val="Heading2"/>
      </w:pPr>
      <w:r>
        <w:t xml:space="preserve">Hva dagens handhevingsregime ikke fanger opp</w:t>
      </w:r>
    </w:p>
    <w:p>
      <w:pPr>
        <w:pStyle w:val="FirstParagraph"/>
      </w:pPr>
      <w:r>
        <w:t xml:space="preserve">Det første blindfeltet er</w:t>
      </w:r>
      <w:r>
        <w:t xml:space="preserve"> </w:t>
      </w:r>
      <w:r>
        <w:rPr>
          <w:b/>
          <w:bCs/>
        </w:rPr>
        <w:t xml:space="preserve">subtile og krysskoblete represalier</w:t>
      </w:r>
      <w:r>
        <w:t xml:space="preserve">. Norske surveydata peker på opplevelser av at konsekvenser antydes snarere enn uttales direkte, og at press kan knyttes til andre produkter eller andre tema enn den aktuelle tvisten. Slike mekanismer kan være kommersielt svært effektive, men juridisk vanskelige å dokumentere som et klart brudd på trussel- eller delistingregler.</w:t>
      </w:r>
      <w:r>
        <w:t xml:space="preserve"> </w:t>
      </w:r>
      <w:hyperlink r:id="rId22">
        <w:r>
          <w:rPr>
            <w:rStyle w:val="Hyperlink"/>
          </w:rPr>
          <w:t xml:space="preserve">[25]</w:t>
        </w:r>
      </w:hyperlink>
    </w:p>
    <w:p>
      <w:pPr>
        <w:pStyle w:val="BodyText"/>
      </w:pPr>
      <w:r>
        <w:t xml:space="preserve">Det andre blindfeltet er</w:t>
      </w:r>
      <w:r>
        <w:t xml:space="preserve"> </w:t>
      </w:r>
      <w:r>
        <w:rPr>
          <w:b/>
          <w:bCs/>
        </w:rPr>
        <w:t xml:space="preserve">muntlige sideavtaler og faktisk praksis som glir bort fra skriftlig avtaleverk</w:t>
      </w:r>
      <w:r>
        <w:t xml:space="preserve">. Formelt krever loven skriftlighet, men offentlige kilder viser både at en betydelig minoritet av norske leverandører fortsatt opplever muntlige avtaler i tillegg til skriftlige, og at svenske myndigheter har sett at skriftlige avtaler i praksis suppleres av muntlige vilkår til fordel for den sterkere parten. Når praksis flyttes ut av den skriftlige kontrakten, blir håndheving langt vanskeligere.</w:t>
      </w:r>
      <w:r>
        <w:t xml:space="preserve"> </w:t>
      </w:r>
      <w:hyperlink r:id="rId21">
        <w:r>
          <w:rPr>
            <w:rStyle w:val="Hyperlink"/>
          </w:rPr>
          <w:t xml:space="preserve">[46]</w:t>
        </w:r>
      </w:hyperlink>
    </w:p>
    <w:p>
      <w:pPr>
        <w:pStyle w:val="BodyText"/>
      </w:pPr>
      <w:r>
        <w:t xml:space="preserve">Det tredje blindfeltet er</w:t>
      </w:r>
      <w:r>
        <w:t xml:space="preserve"> </w:t>
      </w:r>
      <w:r>
        <w:rPr>
          <w:b/>
          <w:bCs/>
        </w:rPr>
        <w:t xml:space="preserve">betalinger som er formelt avtalte, men praktisk ubalanserte</w:t>
      </w:r>
      <w:r>
        <w:t xml:space="preserve">. UTP-logikken i EU og nabolandene tillater flere “grå” praksiser dersom de er klart avtalt på forhånd. Det samme problemet finnes i Norge rundt joint marketing: kjernen er ofte ikke om betalingen finnes, men om motytelsen er reell, spesifisert og proporsjonal. Nettopp derfor foreslo departementet i 2025 å lovfeste et rimelig forhold mellom betalinger og tjenester og strengere skriftlighet for faste betalinger og felles markedsføring.</w:t>
      </w:r>
      <w:r>
        <w:t xml:space="preserve"> </w:t>
      </w:r>
      <w:hyperlink r:id="rId41">
        <w:r>
          <w:rPr>
            <w:rStyle w:val="Hyperlink"/>
          </w:rPr>
          <w:t xml:space="preserve">[47]</w:t>
        </w:r>
      </w:hyperlink>
    </w:p>
    <w:p>
      <w:pPr>
        <w:pStyle w:val="BodyText"/>
      </w:pPr>
      <w:r>
        <w:t xml:space="preserve">Det fjerde blindfeltet er</w:t>
      </w:r>
      <w:r>
        <w:t xml:space="preserve"> </w:t>
      </w:r>
      <w:r>
        <w:rPr>
          <w:b/>
          <w:bCs/>
        </w:rPr>
        <w:t xml:space="preserve">strukturell portvoktermakt som ikke lar seg redusere til enkeltbrudd</w:t>
      </w:r>
      <w:r>
        <w:t xml:space="preserve">. Offentlige norske kilder beskriver både høy konsentrasjon i detaljistleddet, knapp hylleplass, betydelige vertikale bindinger og etableringsbarrierer i grossistleddet. Når makt utøves gjennom tilgang til distribusjon, prioritering i kategoriarbeid, plass i planogrammet eller gjennom langsiktige avhengighetsforhold, havner mye av problemet utenfor det som enkelt kan angripes som et enkeltstående brudd på god handelsskikk.</w:t>
      </w:r>
      <w:r>
        <w:t xml:space="preserve"> </w:t>
      </w:r>
      <w:hyperlink r:id="rId46">
        <w:r>
          <w:rPr>
            <w:rStyle w:val="Hyperlink"/>
          </w:rPr>
          <w:t xml:space="preserve">[48]</w:t>
        </w:r>
      </w:hyperlink>
    </w:p>
    <w:p>
      <w:pPr>
        <w:pStyle w:val="BodyText"/>
      </w:pPr>
      <w:r>
        <w:t xml:space="preserve">Det femte blindfeltet er</w:t>
      </w:r>
      <w:r>
        <w:t xml:space="preserve"> </w:t>
      </w:r>
      <w:r>
        <w:rPr>
          <w:b/>
          <w:bCs/>
        </w:rPr>
        <w:t xml:space="preserve">forhold som ligger utenfor lovens virkeområde eller vertikale logikk</w:t>
      </w:r>
      <w:r>
        <w:t xml:space="preserve">. Prop. 33 L sa uttrykkelig at loven ikke skulle regulere kjøpermakt, konkurranseproblemene i verdikjeden eller betalingsordninger som hylleplass direkte. Dagligvaretilsynets årsrapport for 2024 viser også at tilsynet ikke kunne gripe inn i en etterligningssak mellom to leverandører fordi loven er rettet mot vertikale, ikke horisontale, konflikter.</w:t>
      </w:r>
      <w:r>
        <w:t xml:space="preserve"> </w:t>
      </w:r>
      <w:hyperlink r:id="rId25">
        <w:r>
          <w:rPr>
            <w:rStyle w:val="Hyperlink"/>
          </w:rPr>
          <w:t xml:space="preserve">[49]</w:t>
        </w:r>
      </w:hyperlink>
    </w:p>
    <w:bookmarkEnd w:id="47"/>
    <w:bookmarkStart w:id="48" w:name="samlet-vurdering-av-problemets-rot"/>
    <w:p>
      <w:pPr>
        <w:pStyle w:val="Heading2"/>
      </w:pPr>
      <w:r>
        <w:t xml:space="preserve">Samlet vurdering av problemets rot</w:t>
      </w:r>
    </w:p>
    <w:p>
      <w:pPr>
        <w:pStyle w:val="FirstParagraph"/>
      </w:pPr>
      <w:r>
        <w:t xml:space="preserve">Min samlede vurdering er at problemet</w:t>
      </w:r>
      <w:r>
        <w:t xml:space="preserve"> </w:t>
      </w:r>
      <w:r>
        <w:rPr>
          <w:b/>
          <w:bCs/>
        </w:rPr>
        <w:t xml:space="preserve">primært</w:t>
      </w:r>
      <w:r>
        <w:t xml:space="preserve"> </w:t>
      </w:r>
      <w:r>
        <w:t xml:space="preserve">er</w:t>
      </w:r>
      <w:r>
        <w:t xml:space="preserve"> </w:t>
      </w:r>
      <w:r>
        <w:rPr>
          <w:b/>
          <w:bCs/>
        </w:rPr>
        <w:t xml:space="preserve">strukturell avhengighet mellom leverandør og kjede</w:t>
      </w:r>
      <w:r>
        <w:t xml:space="preserve">. Den mest gjennomgående forklaringen i kildene er at leverandører i praksis er avhengige av svært få kjøpere for å oppnå bred markedsadgang, mens kjedene samtidig kontrollerer hylleplass, delisting, planogram og til dels grossistadgang. Både eldre NOU-er, ny konkurransedokumentasjon og Dagligvaretilsynets egne beskrivelser peker i denne retningen. Uten denne avhengigheten ville heller ikke frykt for represalier hatt samme disiplinerende kraft.</w:t>
      </w:r>
      <w:r>
        <w:t xml:space="preserve"> </w:t>
      </w:r>
      <w:hyperlink r:id="rId28">
        <w:r>
          <w:rPr>
            <w:rStyle w:val="Hyperlink"/>
          </w:rPr>
          <w:t xml:space="preserve">[50]</w:t>
        </w:r>
      </w:hyperlink>
    </w:p>
    <w:p>
      <w:pPr>
        <w:pStyle w:val="BodyText"/>
      </w:pPr>
      <w:r>
        <w:t xml:space="preserve">Den</w:t>
      </w:r>
      <w:r>
        <w:t xml:space="preserve"> </w:t>
      </w:r>
      <w:r>
        <w:rPr>
          <w:b/>
          <w:bCs/>
        </w:rPr>
        <w:t xml:space="preserve">nest viktigste</w:t>
      </w:r>
      <w:r>
        <w:t xml:space="preserve"> </w:t>
      </w:r>
      <w:r>
        <w:t xml:space="preserve">årsaken er</w:t>
      </w:r>
      <w:r>
        <w:t xml:space="preserve"> </w:t>
      </w:r>
      <w:r>
        <w:rPr>
          <w:b/>
          <w:bCs/>
        </w:rPr>
        <w:t xml:space="preserve">svak varsling</w:t>
      </w:r>
      <w:r>
        <w:t xml:space="preserve">. Det er her den strukturelle avhengigheten oversettes til et håndhevingsproblem. Norske, svenske og finske myndighetskilder sier i praksis det samme: leverandører vegrer seg fordi anonymitet ikke oppleves som sikker nok, eller fordi selve det å klage kan skade kundeforholdet. Dette gjør svak varsling til mer enn et kommunikasjonsproblem; det er et markedsproblem som forplanter seg inn i tilsynets input.</w:t>
      </w:r>
      <w:r>
        <w:t xml:space="preserve"> </w:t>
      </w:r>
      <w:hyperlink r:id="rId35">
        <w:r>
          <w:rPr>
            <w:rStyle w:val="Hyperlink"/>
          </w:rPr>
          <w:t xml:space="preserve">[51]</w:t>
        </w:r>
      </w:hyperlink>
    </w:p>
    <w:p>
      <w:pPr>
        <w:pStyle w:val="BodyText"/>
      </w:pPr>
      <w:r>
        <w:t xml:space="preserve">Deretter kommer</w:t>
      </w:r>
      <w:r>
        <w:t xml:space="preserve"> </w:t>
      </w:r>
      <w:r>
        <w:rPr>
          <w:b/>
          <w:bCs/>
        </w:rPr>
        <w:t xml:space="preserve">svak håndheving</w:t>
      </w:r>
      <w:r>
        <w:t xml:space="preserve">. Med “svak” mener jeg ikke nødvendigvis passivitet eller uvilje; jeg mener at den operative modellen har vært for indirekte, for dialogbasert og for lite praksisskapende til å gi markedet tydelige grenser. Når få saker leder til vedtak, og gebyr i utgangspunktet krever et tidligere vedtak, blir enforcement både treg og lite synlig. Flyttingen til Konkurransetilsynet kan bedre kapasitet, robusthet og trolig juridisk miljø, men det vil ikke automatisk løse problemet dersom varsling og lovens materielle rekkevidde forblir de samme.</w:t>
      </w:r>
      <w:r>
        <w:t xml:space="preserve"> </w:t>
      </w:r>
      <w:hyperlink r:id="rId32">
        <w:r>
          <w:rPr>
            <w:rStyle w:val="Hyperlink"/>
          </w:rPr>
          <w:t xml:space="preserve">[52]</w:t>
        </w:r>
      </w:hyperlink>
    </w:p>
    <w:p>
      <w:pPr>
        <w:pStyle w:val="BodyText"/>
      </w:pPr>
      <w:r>
        <w:rPr>
          <w:b/>
          <w:bCs/>
        </w:rPr>
        <w:t xml:space="preserve">Svakt lovverk</w:t>
      </w:r>
      <w:r>
        <w:t xml:space="preserve"> </w:t>
      </w:r>
      <w:r>
        <w:t xml:space="preserve">er også en reell del av forklaringen, men etter mitt skjønn ikke hovedforklaringen alene. Det er viktig at dagens lov ikke eksplisitt regulerer rabatter og betalinger, ikke regulerer kjøpermakt direkte, og ikke opprinnelig var utformet for direkte sanksjon ved lovbrudd. Samtidig viser de nordiske sammenligningene at også bredere UTP-regimer får få klager når leverandøravhengigheten er høy. Derfor er “svakt lovverk” best forstått som en</w:t>
      </w:r>
      <w:r>
        <w:t xml:space="preserve"> </w:t>
      </w:r>
      <w:r>
        <w:rPr>
          <w:b/>
          <w:bCs/>
        </w:rPr>
        <w:t xml:space="preserve">forsterkende</w:t>
      </w:r>
      <w:r>
        <w:t xml:space="preserve"> </w:t>
      </w:r>
      <w:r>
        <w:t xml:space="preserve">faktor, ikke som hele problemet.</w:t>
      </w:r>
      <w:r>
        <w:t xml:space="preserve"> </w:t>
      </w:r>
      <w:hyperlink r:id="rId25">
        <w:r>
          <w:rPr>
            <w:rStyle w:val="Hyperlink"/>
          </w:rPr>
          <w:t xml:space="preserve">[53]</w:t>
        </w:r>
      </w:hyperlink>
    </w:p>
    <w:p>
      <w:pPr>
        <w:pStyle w:val="BodyText"/>
      </w:pPr>
      <w:r>
        <w:t xml:space="preserve">Kort sagt: rotårsaken er ikke ett enkelt svakt punkt, men en kausal kjede.</w:t>
      </w:r>
      <w:r>
        <w:t xml:space="preserve"> </w:t>
      </w:r>
      <w:r>
        <w:rPr>
          <w:b/>
          <w:bCs/>
        </w:rPr>
        <w:t xml:space="preserve">Konsentrert kjedemakt og leverandøravhengighet skaper frykt; frykten svekker varslingen; svak varsling undergraver håndhevingen; og lovens smale utforming gjør at mye av den mest effektive maktutøvelsen aldri blir et klart håndhevingsobjekt.</w:t>
      </w:r>
      <w:r>
        <w:t xml:space="preserve"> </w:t>
      </w:r>
      <w:r>
        <w:t xml:space="preserve">Denne syntesen er min egen, men den ligger tett på mønsteret i de offentlige kildene.</w:t>
      </w:r>
      <w:r>
        <w:t xml:space="preserve"> </w:t>
      </w:r>
      <w:hyperlink r:id="rId28">
        <w:r>
          <w:rPr>
            <w:rStyle w:val="Hyperlink"/>
          </w:rPr>
          <w:t xml:space="preserve">[54]</w:t>
        </w:r>
      </w:hyperlink>
    </w:p>
    <w:bookmarkEnd w:id="48"/>
    <w:bookmarkStart w:id="53" w:name="X3f3981818b26b8a59386f80b8940cb0cbfe1bb1"/>
    <w:p>
      <w:pPr>
        <w:pStyle w:val="Heading2"/>
      </w:pPr>
      <w:r>
        <w:t xml:space="preserve">Konfliktmatrise, policyimplikasjoner og hypoteser</w:t>
      </w:r>
    </w:p>
    <w:bookmarkStart w:id="49" w:name="Xdc4fb54eec110c3b63526ccbbf5229929b434f2"/>
    <w:p>
      <w:pPr>
        <w:pStyle w:val="Heading3"/>
      </w:pPr>
      <w:r>
        <w:t xml:space="preserve">Konfliktmatrise mellom lovverk, praksis og faktisk maktutøvelse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Lag</w:t>
            </w:r>
          </w:p>
        </w:tc>
        <w:tc>
          <w:tcPr/>
          <w:p>
            <w:pPr>
              <w:pStyle w:val="Compact"/>
            </w:pPr>
            <w:r>
              <w:t xml:space="preserve">Formell regulering</w:t>
            </w:r>
          </w:p>
        </w:tc>
        <w:tc>
          <w:tcPr/>
          <w:p>
            <w:pPr>
              <w:pStyle w:val="Compact"/>
            </w:pPr>
            <w:r>
              <w:t xml:space="preserve">Praktisk praksis</w:t>
            </w:r>
          </w:p>
        </w:tc>
        <w:tc>
          <w:tcPr/>
          <w:p>
            <w:pPr>
              <w:pStyle w:val="Compact"/>
            </w:pPr>
            <w:r>
              <w:t xml:space="preserve">Faktisk maktutfall</w:t>
            </w:r>
          </w:p>
        </w:tc>
      </w:tr>
      <w:tr>
        <w:tc>
          <w:tcPr/>
          <w:p>
            <w:pPr>
              <w:pStyle w:val="Compact"/>
            </w:pPr>
            <w:r>
              <w:t xml:space="preserve">Skriftlighet</w:t>
            </w:r>
          </w:p>
        </w:tc>
        <w:tc>
          <w:tcPr/>
          <w:p>
            <w:pPr>
              <w:pStyle w:val="Compact"/>
            </w:pPr>
            <w:r>
              <w:t xml:space="preserve">Avtaler skal inngås skriftlig og klart beskrive ytelser.</w:t>
            </w:r>
            <w:r>
              <w:t xml:space="preserve"> </w:t>
            </w:r>
            <w:hyperlink r:id="rId23">
              <w:r>
                <w:rPr>
                  <w:rStyle w:val="Hyperlink"/>
                </w:rPr>
                <w:t xml:space="preserve">[55]</w:t>
              </w:r>
            </w:hyperlink>
          </w:p>
        </w:tc>
        <w:tc>
          <w:tcPr/>
          <w:p>
            <w:pPr>
              <w:pStyle w:val="Compact"/>
            </w:pPr>
            <w:r>
              <w:t xml:space="preserve">Offentlige kilder viser fortsatt muntlige tilleggsavtaler og praksis som glir fra skriftlig kontrakt.</w:t>
            </w:r>
            <w:r>
              <w:t xml:space="preserve"> </w:t>
            </w:r>
            <w:hyperlink r:id="rId21">
              <w:r>
                <w:rPr>
                  <w:rStyle w:val="Hyperlink"/>
                </w:rPr>
                <w:t xml:space="preserve">[46]</w:t>
              </w:r>
            </w:hyperlink>
          </w:p>
        </w:tc>
        <w:tc>
          <w:tcPr/>
          <w:p>
            <w:pPr>
              <w:pStyle w:val="Compact"/>
            </w:pPr>
            <w:r>
              <w:t xml:space="preserve">Den sterkere parten kan flytte konfliktstoff ut av spor som er enkle å kontrollere.</w:t>
            </w:r>
          </w:p>
        </w:tc>
      </w:tr>
      <w:tr>
        <w:tc>
          <w:tcPr/>
          <w:p>
            <w:pPr>
              <w:pStyle w:val="Compact"/>
            </w:pPr>
            <w:r>
              <w:t xml:space="preserve">Delisting</w:t>
            </w:r>
          </w:p>
        </w:tc>
        <w:tc>
          <w:tcPr/>
          <w:p>
            <w:pPr>
              <w:pStyle w:val="Compact"/>
            </w:pPr>
            <w:r>
              <w:t xml:space="preserve">Delisting krever saklig grunn og kan kreves begrunnet skriftlig.</w:t>
            </w:r>
            <w:r>
              <w:t xml:space="preserve"> </w:t>
            </w:r>
            <w:hyperlink r:id="rId40">
              <w:r>
                <w:rPr>
                  <w:rStyle w:val="Hyperlink"/>
                </w:rPr>
                <w:t xml:space="preserve">[56]</w:t>
              </w:r>
            </w:hyperlink>
          </w:p>
        </w:tc>
        <w:tc>
          <w:tcPr/>
          <w:p>
            <w:pPr>
              <w:pStyle w:val="Compact"/>
            </w:pPr>
            <w:r>
              <w:t xml:space="preserve">Leverandører rapporterer fortsatt delisting uten saklig begrunnet forklaring, og eldre kilder beskriver delisting som troverdig sanksjonstrussel.</w:t>
            </w:r>
            <w:r>
              <w:t xml:space="preserve"> </w:t>
            </w:r>
            <w:hyperlink r:id="rId27">
              <w:r>
                <w:rPr>
                  <w:rStyle w:val="Hyperlink"/>
                </w:rPr>
                <w:t xml:space="preserve">[57]</w:t>
              </w:r>
            </w:hyperlink>
          </w:p>
        </w:tc>
        <w:tc>
          <w:tcPr/>
          <w:p>
            <w:pPr>
              <w:pStyle w:val="Compact"/>
            </w:pPr>
            <w:r>
              <w:t xml:space="preserve">Delisting fungerer både som faktisk sanksjon og som forhandlingsbrekkstang.</w:t>
            </w:r>
          </w:p>
        </w:tc>
      </w:tr>
      <w:tr>
        <w:tc>
          <w:tcPr/>
          <w:p>
            <w:pPr>
              <w:pStyle w:val="Compact"/>
            </w:pPr>
            <w:r>
              <w:t xml:space="preserve">Trusler og frykt</w:t>
            </w:r>
          </w:p>
        </w:tc>
        <w:tc>
          <w:tcPr/>
          <w:p>
            <w:pPr>
              <w:pStyle w:val="Compact"/>
            </w:pPr>
            <w:r>
              <w:t xml:space="preserve">Loven forbyr ord og handlinger egnet til å fremkalle alvorlig frykt.</w:t>
            </w:r>
            <w:r>
              <w:t xml:space="preserve"> </w:t>
            </w:r>
            <w:hyperlink r:id="rId40">
              <w:r>
                <w:rPr>
                  <w:rStyle w:val="Hyperlink"/>
                </w:rPr>
                <w:t xml:space="preserve">[58]</w:t>
              </w:r>
            </w:hyperlink>
          </w:p>
        </w:tc>
        <w:tc>
          <w:tcPr/>
          <w:p>
            <w:pPr>
              <w:pStyle w:val="Compact"/>
            </w:pPr>
            <w:r>
              <w:t xml:space="preserve">Surveyene peker på subtile hint, kryssprodukt-trusler og frykt som springer ut av markedsmakt mer enn av eksplisitte utsagn.</w:t>
            </w:r>
            <w:r>
              <w:t xml:space="preserve"> </w:t>
            </w:r>
            <w:hyperlink r:id="rId22">
              <w:r>
                <w:rPr>
                  <w:rStyle w:val="Hyperlink"/>
                </w:rPr>
                <w:t xml:space="preserve">[25]</w:t>
              </w:r>
            </w:hyperlink>
          </w:p>
        </w:tc>
        <w:tc>
          <w:tcPr/>
          <w:p>
            <w:pPr>
              <w:pStyle w:val="Compact"/>
            </w:pPr>
            <w:r>
              <w:t xml:space="preserve">Betydelig disiplinering kan skje uten klare, bevisbare lovbrudd.</w:t>
            </w:r>
          </w:p>
        </w:tc>
      </w:tr>
      <w:tr>
        <w:tc>
          <w:tcPr/>
          <w:p>
            <w:pPr>
              <w:pStyle w:val="Compact"/>
            </w:pPr>
            <w:r>
              <w:t xml:space="preserve">Joint marketing og betalinger</w:t>
            </w:r>
          </w:p>
        </w:tc>
        <w:tc>
          <w:tcPr/>
          <w:p>
            <w:pPr>
              <w:pStyle w:val="Compact"/>
            </w:pPr>
            <w:r>
              <w:t xml:space="preserve">Gjeldende lov regulerer ikke rabatter og betalinger eksplisitt; regjeringen foreslo derfor nye presiseringer.</w:t>
            </w:r>
            <w:r>
              <w:t xml:space="preserve"> </w:t>
            </w:r>
            <w:hyperlink r:id="rId21">
              <w:r>
                <w:rPr>
                  <w:rStyle w:val="Hyperlink"/>
                </w:rPr>
                <w:t xml:space="preserve">[59]</w:t>
              </w:r>
            </w:hyperlink>
          </w:p>
        </w:tc>
        <w:tc>
          <w:tcPr/>
          <w:p>
            <w:pPr>
              <w:pStyle w:val="Compact"/>
            </w:pPr>
            <w:r>
              <w:t xml:space="preserve">JM beskrives som kilde til mye uenighet, særlig om uklare motytelser og manglende kompensasjon.</w:t>
            </w:r>
            <w:r>
              <w:t xml:space="preserve"> </w:t>
            </w:r>
            <w:hyperlink r:id="rId27">
              <w:r>
                <w:rPr>
                  <w:rStyle w:val="Hyperlink"/>
                </w:rPr>
                <w:t xml:space="preserve">[60]</w:t>
              </w:r>
            </w:hyperlink>
          </w:p>
        </w:tc>
        <w:tc>
          <w:tcPr/>
          <w:p>
            <w:pPr>
              <w:pStyle w:val="Compact"/>
            </w:pPr>
            <w:r>
              <w:t xml:space="preserve">Økonomisk overføring og kontroll kan kamufleres som kontraktsmessig samarbeid.</w:t>
            </w:r>
          </w:p>
        </w:tc>
      </w:tr>
      <w:tr>
        <w:tc>
          <w:tcPr/>
          <w:p>
            <w:pPr>
              <w:pStyle w:val="Compact"/>
            </w:pPr>
            <w:r>
              <w:t xml:space="preserve">Sanksjoner</w:t>
            </w:r>
          </w:p>
        </w:tc>
        <w:tc>
          <w:tcPr/>
          <w:p>
            <w:pPr>
              <w:pStyle w:val="Compact"/>
            </w:pPr>
            <w:r>
              <w:t xml:space="preserve">Overtredelsesgebyr var i utgangspunktet knyttet til brudd på vedtak, ikke direkte til lovbrudd.</w:t>
            </w:r>
            <w:r>
              <w:t xml:space="preserve"> </w:t>
            </w:r>
            <w:hyperlink r:id="rId40">
              <w:r>
                <w:rPr>
                  <w:rStyle w:val="Hyperlink"/>
                </w:rPr>
                <w:t xml:space="preserve">[61]</w:t>
              </w:r>
            </w:hyperlink>
          </w:p>
        </w:tc>
        <w:tc>
          <w:tcPr/>
          <w:p>
            <w:pPr>
              <w:pStyle w:val="Compact"/>
            </w:pPr>
            <w:r>
              <w:t xml:space="preserve">Få saker, få eller ingen vedtak i Norge, mye dialog og fortrolige løsninger.</w:t>
            </w:r>
            <w:r>
              <w:t xml:space="preserve"> </w:t>
            </w:r>
            <w:hyperlink r:id="rId27">
              <w:r>
                <w:rPr>
                  <w:rStyle w:val="Hyperlink"/>
                </w:rPr>
                <w:t xml:space="preserve">[62]</w:t>
              </w:r>
            </w:hyperlink>
          </w:p>
        </w:tc>
        <w:tc>
          <w:tcPr/>
          <w:p>
            <w:pPr>
              <w:pStyle w:val="Compact"/>
            </w:pPr>
            <w:r>
              <w:t xml:space="preserve">Normen blir svakere opplyst og mindre avskrekkende i praksis.</w:t>
            </w:r>
          </w:p>
        </w:tc>
      </w:tr>
    </w:tbl>
    <w:bookmarkEnd w:id="49"/>
    <w:bookmarkStart w:id="50" w:name="policyimplikasjoner"/>
    <w:p>
      <w:pPr>
        <w:pStyle w:val="Heading3"/>
      </w:pPr>
      <w:r>
        <w:t xml:space="preserve">Policyimplikasjoner</w:t>
      </w:r>
    </w:p>
    <w:p>
      <w:pPr>
        <w:numPr>
          <w:ilvl w:val="0"/>
          <w:numId w:val="1001"/>
        </w:numPr>
      </w:pPr>
      <w:r>
        <w:rPr>
          <w:b/>
          <w:bCs/>
        </w:rPr>
        <w:t xml:space="preserve">Behold offentlig håndheving, men bygg et mer robust klage- og tipssystem rundt den.</w:t>
      </w:r>
      <w:r>
        <w:t xml:space="preserve"> </w:t>
      </w:r>
      <w:r>
        <w:t xml:space="preserve">Norske, svenske og finske kilder peker alle på at frykt for identifisering og tap av kunde er en sentral barriere. Det taler for sterkere anonymitetsvern, mulighet for anonym toveis kommunikasjon og tydeligere adgang for bransjeorganisasjoner til å fremme saker på vegne av medlemmer.</w:t>
      </w:r>
      <w:r>
        <w:t xml:space="preserve"> </w:t>
      </w:r>
      <w:hyperlink r:id="rId35">
        <w:r>
          <w:rPr>
            <w:rStyle w:val="Hyperlink"/>
          </w:rPr>
          <w:t xml:space="preserve">[63]</w:t>
        </w:r>
      </w:hyperlink>
    </w:p>
    <w:p>
      <w:pPr>
        <w:numPr>
          <w:ilvl w:val="0"/>
          <w:numId w:val="1001"/>
        </w:numPr>
      </w:pPr>
      <w:r>
        <w:rPr>
          <w:b/>
          <w:bCs/>
        </w:rPr>
        <w:t xml:space="preserve">Flytt håndhevingens tyngdepunkt delvis fra klagebasert til temabasert og egeninitiert kontroll.</w:t>
      </w:r>
      <w:r>
        <w:t xml:space="preserve"> </w:t>
      </w:r>
      <w:r>
        <w:t xml:space="preserve">Finland og Danmark viser at mye konfliktstoff ellers blir liggende i dialogspor, mens Norge allerede bruker samarbeidsundersøkelser som en kompensasjon for få direkte henvendelser. Neste steg er at slike funn i større grad må kunne utløse egne tematiske saker om JM, delisting og muntlige avvik.</w:t>
      </w:r>
      <w:r>
        <w:t xml:space="preserve"> </w:t>
      </w:r>
      <w:hyperlink r:id="rId35">
        <w:r>
          <w:rPr>
            <w:rStyle w:val="Hyperlink"/>
          </w:rPr>
          <w:t xml:space="preserve">[64]</w:t>
        </w:r>
      </w:hyperlink>
    </w:p>
    <w:p>
      <w:pPr>
        <w:numPr>
          <w:ilvl w:val="0"/>
          <w:numId w:val="1001"/>
        </w:numPr>
      </w:pPr>
      <w:r>
        <w:rPr>
          <w:b/>
          <w:bCs/>
        </w:rPr>
        <w:t xml:space="preserve">Kodifiser de mest konfliktfylte gråsonene tydeligere.</w:t>
      </w:r>
      <w:r>
        <w:t xml:space="preserve"> </w:t>
      </w:r>
      <w:r>
        <w:t xml:space="preserve">Det gjelder særlig et krav om forholdsmessighet mellom betalinger og motytelser, klarere regler for felles markedsføring og strengere krav til skriftlighet for faste betalinger og sideordninger. Departementets 2025-forslag peker nettopp her, og de norske funnene tilsier at dette er riktig treffpunkt.</w:t>
      </w:r>
      <w:r>
        <w:t xml:space="preserve"> </w:t>
      </w:r>
      <w:hyperlink r:id="rId21">
        <w:r>
          <w:rPr>
            <w:rStyle w:val="Hyperlink"/>
          </w:rPr>
          <w:t xml:space="preserve">[65]</w:t>
        </w:r>
      </w:hyperlink>
    </w:p>
    <w:p>
      <w:pPr>
        <w:numPr>
          <w:ilvl w:val="0"/>
          <w:numId w:val="1001"/>
        </w:numPr>
      </w:pPr>
      <w:r>
        <w:rPr>
          <w:b/>
          <w:bCs/>
        </w:rPr>
        <w:t xml:space="preserve">Koble god handelsskikk-regimet tettere til strukturell konkurransepolitikk.</w:t>
      </w:r>
      <w:r>
        <w:t xml:space="preserve"> </w:t>
      </w:r>
      <w:r>
        <w:t xml:space="preserve">Så lenge høy konsentrasjon, vertikale bindinger, knapp hylleplass og grossistbarrierer består, vil håndheving av enkeltsaker bare gripe et utsnitt av problemet. Whitepaperet bør derfor behandle god handelsskikk og strukturelle tiltak som komplementære, ikke alternative, virkemidler.</w:t>
      </w:r>
      <w:r>
        <w:t xml:space="preserve"> </w:t>
      </w:r>
      <w:hyperlink r:id="rId46">
        <w:r>
          <w:rPr>
            <w:rStyle w:val="Hyperlink"/>
          </w:rPr>
          <w:t xml:space="preserve">[66]</w:t>
        </w:r>
      </w:hyperlink>
    </w:p>
    <w:p>
      <w:pPr>
        <w:numPr>
          <w:ilvl w:val="0"/>
          <w:numId w:val="1001"/>
        </w:numPr>
      </w:pPr>
      <w:r>
        <w:rPr>
          <w:b/>
          <w:bCs/>
        </w:rPr>
        <w:t xml:space="preserve">Mål håndheving på oppklaringskraft og normdanning, ikke bare på antall vedtak.</w:t>
      </w:r>
      <w:r>
        <w:t xml:space="preserve"> </w:t>
      </w:r>
      <w:r>
        <w:t xml:space="preserve">Dagligvaretilsynet har trolig rett i at antall sanksjoner ikke alene er et godt suksessmål. Men uten et minimum av publiserte, presedensskapende avgjørelser eller tydelige prinsipputtalelser, forblir den rettslige standarden uklar. Et regime må derfor både kunne løse saker fortrolig og samtidig generere nok offentlig rettledning til at markedet vet hvor grensene går.</w:t>
      </w:r>
      <w:r>
        <w:t xml:space="preserve"> </w:t>
      </w:r>
      <w:hyperlink r:id="rId35">
        <w:r>
          <w:rPr>
            <w:rStyle w:val="Hyperlink"/>
          </w:rPr>
          <w:t xml:space="preserve">[67]</w:t>
        </w:r>
      </w:hyperlink>
    </w:p>
    <w:bookmarkEnd w:id="50"/>
    <w:bookmarkStart w:id="52" w:name="spissede-hypoteser-som-bør-testes-videre"/>
    <w:p>
      <w:pPr>
        <w:pStyle w:val="Heading3"/>
      </w:pPr>
      <w:r>
        <w:t xml:space="preserve">Spissede hypoteser som bør testes videre</w:t>
      </w:r>
    </w:p>
    <w:p>
      <w:pPr>
        <w:numPr>
          <w:ilvl w:val="0"/>
          <w:numId w:val="1002"/>
        </w:numPr>
      </w:pPr>
      <w:r>
        <w:rPr>
          <w:b/>
          <w:bCs/>
        </w:rPr>
        <w:t xml:space="preserve">Jo høyere kommersiell avhengighet en leverandør har av de tre store kjedene, desto lavere er sannsynligheten for at leverandøren varsler om mulig lovbrudd, kontrollert for eksponering for samme type praksis.</w:t>
      </w:r>
      <w:r>
        <w:t xml:space="preserve"> </w:t>
      </w:r>
      <w:r>
        <w:t xml:space="preserve">Denne hypotesen følger direkte av Dagligvaretilsynets, Sveriges og Finlands beskrivelser av sammenhengen mellom få kjøpere, anonymitetsfrykt og lav anmeldelsesvilje.</w:t>
      </w:r>
      <w:r>
        <w:t xml:space="preserve"> </w:t>
      </w:r>
      <w:hyperlink r:id="rId35">
        <w:r>
          <w:rPr>
            <w:rStyle w:val="Hyperlink"/>
          </w:rPr>
          <w:t xml:space="preserve">[68]</w:t>
        </w:r>
      </w:hyperlink>
    </w:p>
    <w:p>
      <w:pPr>
        <w:numPr>
          <w:ilvl w:val="0"/>
          <w:numId w:val="1002"/>
        </w:numPr>
      </w:pPr>
      <w:r>
        <w:rPr>
          <w:b/>
          <w:bCs/>
        </w:rPr>
        <w:t xml:space="preserve">Når loven hovedsakelig regulerer skriftlig kontraktsform og ikke proporsjonaliteten i gjennomføringen, flyttes konfliktstoffet over i muntlige tilpasninger, underoppfylte motytelser og subtile represalier.</w:t>
      </w:r>
      <w:r>
        <w:t xml:space="preserve"> </w:t>
      </w:r>
      <w:r>
        <w:t xml:space="preserve">Norske og svenske kilder peker begge på dette mønsteret.</w:t>
      </w:r>
      <w:r>
        <w:t xml:space="preserve"> </w:t>
      </w:r>
      <w:hyperlink r:id="rId21">
        <w:r>
          <w:rPr>
            <w:rStyle w:val="Hyperlink"/>
          </w:rPr>
          <w:t xml:space="preserve">[69]</w:t>
        </w:r>
      </w:hyperlink>
    </w:p>
    <w:p>
      <w:pPr>
        <w:numPr>
          <w:ilvl w:val="0"/>
          <w:numId w:val="1002"/>
        </w:numPr>
      </w:pPr>
      <w:r>
        <w:rPr>
          <w:b/>
          <w:bCs/>
        </w:rPr>
        <w:t xml:space="preserve">Flyttingen av håndhevingen til Konkurransetilsynet vil alene gi begrenset effekt på sakstilfang og faktisk maktutjevning dersom ikke klagevernet og den materielle lovutformingen samtidig styrkes.</w:t>
      </w:r>
      <w:r>
        <w:t xml:space="preserve"> </w:t>
      </w:r>
      <w:r>
        <w:t xml:space="preserve">Dette er hypotesen som best følger av nordisk sammenligning: sterkere eller større myndighet endrer ikke automatisk leverandørenes insentiver til å klage.</w:t>
      </w:r>
      <w:r>
        <w:t xml:space="preserve"> </w:t>
      </w:r>
      <w:hyperlink r:id="rId51">
        <w:r>
          <w:rPr>
            <w:rStyle w:val="Hyperlink"/>
          </w:rPr>
          <w:t xml:space="preserve">[70]</w:t>
        </w:r>
      </w:hyperlink>
    </w:p>
    <w:bookmarkEnd w:id="52"/>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[11]</w:t>
        </w:r>
      </w:hyperlink>
      <w:r>
        <w:t xml:space="preserve"> </w:t>
      </w:r>
      <w:hyperlink r:id="rId21">
        <w:r>
          <w:rPr>
            <w:rStyle w:val="Hyperlink"/>
          </w:rPr>
          <w:t xml:space="preserve">[17]</w:t>
        </w:r>
      </w:hyperlink>
      <w:r>
        <w:t xml:space="preserve"> </w:t>
      </w:r>
      <w:hyperlink r:id="rId21">
        <w:r>
          <w:rPr>
            <w:rStyle w:val="Hyperlink"/>
          </w:rPr>
          <w:t xml:space="preserve">[28]</w:t>
        </w:r>
      </w:hyperlink>
      <w:r>
        <w:t xml:space="preserve"> </w:t>
      </w:r>
      <w:hyperlink r:id="rId21">
        <w:r>
          <w:rPr>
            <w:rStyle w:val="Hyperlink"/>
          </w:rPr>
          <w:t xml:space="preserve">[32]</w:t>
        </w:r>
      </w:hyperlink>
      <w:r>
        <w:t xml:space="preserve"> </w:t>
      </w:r>
      <w:hyperlink r:id="rId21">
        <w:r>
          <w:rPr>
            <w:rStyle w:val="Hyperlink"/>
          </w:rPr>
          <w:t xml:space="preserve">[37]</w:t>
        </w:r>
      </w:hyperlink>
      <w:r>
        <w:t xml:space="preserve"> </w:t>
      </w:r>
      <w:hyperlink r:id="rId21">
        <w:r>
          <w:rPr>
            <w:rStyle w:val="Hyperlink"/>
          </w:rPr>
          <w:t xml:space="preserve">[42]</w:t>
        </w:r>
      </w:hyperlink>
      <w:r>
        <w:t xml:space="preserve"> </w:t>
      </w:r>
      <w:hyperlink r:id="rId21">
        <w:r>
          <w:rPr>
            <w:rStyle w:val="Hyperlink"/>
          </w:rPr>
          <w:t xml:space="preserve">[46]</w:t>
        </w:r>
      </w:hyperlink>
      <w:r>
        <w:t xml:space="preserve"> </w:t>
      </w:r>
      <w:hyperlink r:id="rId21">
        <w:r>
          <w:rPr>
            <w:rStyle w:val="Hyperlink"/>
          </w:rPr>
          <w:t xml:space="preserve">[59]</w:t>
        </w:r>
      </w:hyperlink>
      <w:r>
        <w:t xml:space="preserve"> </w:t>
      </w:r>
      <w:hyperlink r:id="rId21">
        <w:r>
          <w:rPr>
            <w:rStyle w:val="Hyperlink"/>
          </w:rPr>
          <w:t xml:space="preserve">[65]</w:t>
        </w:r>
      </w:hyperlink>
      <w:r>
        <w:t xml:space="preserve"> </w:t>
      </w:r>
      <w:hyperlink r:id="rId21">
        <w:r>
          <w:rPr>
            <w:rStyle w:val="Hyperlink"/>
          </w:rPr>
          <w:t xml:space="preserve">[69]</w:t>
        </w:r>
      </w:hyperlink>
      <w:r>
        <w:t xml:space="preserve"> </w:t>
      </w:r>
      <w:r>
        <w:t xml:space="preserve">https://www.regjeringen.no/contentassets/859d5021b8c84701800831babe1ff660/horingsnotat-om-forslag-til-endringer-i-lov-om-god-handelsskikk.pdf</w:t>
      </w:r>
    </w:p>
    <w:p>
      <w:pPr>
        <w:pStyle w:val="BodyText"/>
      </w:pPr>
      <w:hyperlink r:id="rId21">
        <w:r>
          <w:rPr>
            <w:rStyle w:val="Hyperlink"/>
          </w:rPr>
          <w:t xml:space="preserve">https://www.regjeringen.no/contentassets/859d5021b8c84701800831babe1ff660/horingsnotat-om-forslag-til-endringer-i-lov-om-god-handelsskikk.pdf</w:t>
        </w:r>
      </w:hyperlink>
    </w:p>
    <w:p>
      <w:pPr>
        <w:pStyle w:val="BodyText"/>
      </w:pPr>
      <w:hyperlink r:id="rId22">
        <w:r>
          <w:rPr>
            <w:rStyle w:val="Hyperlink"/>
          </w:rPr>
          <w:t xml:space="preserve">[2]</w:t>
        </w:r>
      </w:hyperlink>
      <w:r>
        <w:t xml:space="preserve"> </w:t>
      </w:r>
      <w:hyperlink r:id="rId22">
        <w:r>
          <w:rPr>
            <w:rStyle w:val="Hyperlink"/>
          </w:rPr>
          <w:t xml:space="preserve">[25]</w:t>
        </w:r>
      </w:hyperlink>
      <w:r>
        <w:t xml:space="preserve"> </w:t>
      </w:r>
      <w:hyperlink r:id="rId22">
        <w:r>
          <w:rPr>
            <w:rStyle w:val="Hyperlink"/>
          </w:rPr>
          <w:t xml:space="preserve">[30]</w:t>
        </w:r>
      </w:hyperlink>
      <w:r>
        <w:t xml:space="preserve"> </w:t>
      </w:r>
      <w:r>
        <w:t xml:space="preserve">https://www.dagligvaretilsynet.no/s/Rapport-om-Samarbeidsklimaet-i-Dagligvarebransjen-2023.pdf</w:t>
      </w:r>
    </w:p>
    <w:p>
      <w:pPr>
        <w:pStyle w:val="BodyText"/>
      </w:pPr>
      <w:hyperlink r:id="rId22">
        <w:r>
          <w:rPr>
            <w:rStyle w:val="Hyperlink"/>
          </w:rPr>
          <w:t xml:space="preserve">https://www.dagligvaretilsynet.no/s/Rapport-om-Samarbeidsklimaet-i-Dagligvarebransjen-2023.pdf</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[21]</w:t>
        </w:r>
      </w:hyperlink>
      <w:r>
        <w:t xml:space="preserve"> </w:t>
      </w:r>
      <w:hyperlink r:id="rId23">
        <w:r>
          <w:rPr>
            <w:rStyle w:val="Hyperlink"/>
          </w:rPr>
          <w:t xml:space="preserve">[27]</w:t>
        </w:r>
      </w:hyperlink>
      <w:r>
        <w:t xml:space="preserve"> </w:t>
      </w:r>
      <w:hyperlink r:id="rId23">
        <w:r>
          <w:rPr>
            <w:rStyle w:val="Hyperlink"/>
          </w:rPr>
          <w:t xml:space="preserve">[55]</w:t>
        </w:r>
      </w:hyperlink>
      <w:r>
        <w:t xml:space="preserve"> </w:t>
      </w:r>
      <w:r>
        <w:t xml:space="preserve">https://lovdata.no/LTI/lov/2020-04-17-29</w:t>
      </w:r>
    </w:p>
    <w:p>
      <w:pPr>
        <w:pStyle w:val="BodyText"/>
      </w:pPr>
      <w:hyperlink r:id="rId23">
        <w:r>
          <w:rPr>
            <w:rStyle w:val="Hyperlink"/>
          </w:rPr>
          <w:t xml:space="preserve">https://lovdata.no/LTI/lov/2020-04-17-29</w:t>
        </w:r>
      </w:hyperlink>
    </w:p>
    <w:p>
      <w:pPr>
        <w:pStyle w:val="BodyText"/>
      </w:pPr>
      <w:hyperlink r:id="rId24">
        <w:r>
          <w:rPr>
            <w:rStyle w:val="Hyperlink"/>
          </w:rPr>
          <w:t xml:space="preserve">[5]</w:t>
        </w:r>
      </w:hyperlink>
      <w:r>
        <w:t xml:space="preserve"> </w:t>
      </w:r>
      <w:r>
        <w:t xml:space="preserve">Ikraftsetting av lov 22. desember 2025 nr. 129 om ...</w:t>
      </w:r>
    </w:p>
    <w:p>
      <w:pPr>
        <w:pStyle w:val="BodyText"/>
      </w:pPr>
      <w:hyperlink r:id="rId24">
        <w:r>
          <w:rPr>
            <w:rStyle w:val="Hyperlink"/>
          </w:rPr>
          <w:t xml:space="preserve">https://lovdata.no/forskrift/2026-04-17-601?utm_source=chatgpt.com</w:t>
        </w:r>
      </w:hyperlink>
    </w:p>
    <w:p>
      <w:pPr>
        <w:pStyle w:val="BodyText"/>
      </w:pPr>
      <w:hyperlink r:id="rId25">
        <w:r>
          <w:rPr>
            <w:rStyle w:val="Hyperlink"/>
          </w:rPr>
          <w:t xml:space="preserve">[6]</w:t>
        </w:r>
      </w:hyperlink>
      <w:r>
        <w:t xml:space="preserve"> </w:t>
      </w:r>
      <w:hyperlink r:id="rId25">
        <w:r>
          <w:rPr>
            <w:rStyle w:val="Hyperlink"/>
          </w:rPr>
          <w:t xml:space="preserve">[7]</w:t>
        </w:r>
      </w:hyperlink>
      <w:r>
        <w:t xml:space="preserve"> </w:t>
      </w:r>
      <w:hyperlink r:id="rId25">
        <w:r>
          <w:rPr>
            <w:rStyle w:val="Hyperlink"/>
          </w:rPr>
          <w:t xml:space="preserve">[8]</w:t>
        </w:r>
      </w:hyperlink>
      <w:r>
        <w:t xml:space="preserve"> </w:t>
      </w:r>
      <w:hyperlink r:id="rId25">
        <w:r>
          <w:rPr>
            <w:rStyle w:val="Hyperlink"/>
          </w:rPr>
          <w:t xml:space="preserve">[15]</w:t>
        </w:r>
      </w:hyperlink>
      <w:r>
        <w:t xml:space="preserve"> </w:t>
      </w:r>
      <w:hyperlink r:id="rId25">
        <w:r>
          <w:rPr>
            <w:rStyle w:val="Hyperlink"/>
          </w:rPr>
          <w:t xml:space="preserve">[16]</w:t>
        </w:r>
      </w:hyperlink>
      <w:r>
        <w:t xml:space="preserve"> </w:t>
      </w:r>
      <w:hyperlink r:id="rId25">
        <w:r>
          <w:rPr>
            <w:rStyle w:val="Hyperlink"/>
          </w:rPr>
          <w:t xml:space="preserve">[49]</w:t>
        </w:r>
      </w:hyperlink>
      <w:r>
        <w:t xml:space="preserve"> </w:t>
      </w:r>
      <w:hyperlink r:id="rId25">
        <w:r>
          <w:rPr>
            <w:rStyle w:val="Hyperlink"/>
          </w:rPr>
          <w:t xml:space="preserve">[53]</w:t>
        </w:r>
      </w:hyperlink>
      <w:r>
        <w:t xml:space="preserve"> </w:t>
      </w:r>
      <w:r>
        <w:t xml:space="preserve">https://www.regjeringen.no/no/dokumenter/prop.-33-l-20192020/id2681097/?ch=2</w:t>
      </w:r>
    </w:p>
    <w:p>
      <w:pPr>
        <w:pStyle w:val="BodyText"/>
      </w:pPr>
      <w:hyperlink r:id="rId25">
        <w:r>
          <w:rPr>
            <w:rStyle w:val="Hyperlink"/>
          </w:rPr>
          <w:t xml:space="preserve">https://www.regjeringen.no/no/dokumenter/prop.-33-l-20192020/id2681097/?ch=2</w:t>
        </w:r>
      </w:hyperlink>
    </w:p>
    <w:p>
      <w:pPr>
        <w:pStyle w:val="BodyText"/>
      </w:pPr>
      <w:hyperlink r:id="rId27">
        <w:r>
          <w:rPr>
            <w:rStyle w:val="Hyperlink"/>
          </w:rPr>
          <w:t xml:space="preserve">[9]</w:t>
        </w:r>
      </w:hyperlink>
      <w:r>
        <w:t xml:space="preserve"> </w:t>
      </w:r>
      <w:hyperlink r:id="rId27">
        <w:r>
          <w:rPr>
            <w:rStyle w:val="Hyperlink"/>
          </w:rPr>
          <w:t xml:space="preserve">[13]</w:t>
        </w:r>
      </w:hyperlink>
      <w:r>
        <w:t xml:space="preserve"> </w:t>
      </w:r>
      <w:hyperlink r:id="rId27">
        <w:r>
          <w:rPr>
            <w:rStyle w:val="Hyperlink"/>
          </w:rPr>
          <w:t xml:space="preserve">[18]</w:t>
        </w:r>
      </w:hyperlink>
      <w:r>
        <w:t xml:space="preserve"> </w:t>
      </w:r>
      <w:hyperlink r:id="rId27">
        <w:r>
          <w:rPr>
            <w:rStyle w:val="Hyperlink"/>
          </w:rPr>
          <w:t xml:space="preserve">[20]</w:t>
        </w:r>
      </w:hyperlink>
      <w:r>
        <w:t xml:space="preserve"> </w:t>
      </w:r>
      <w:hyperlink r:id="rId27">
        <w:r>
          <w:rPr>
            <w:rStyle w:val="Hyperlink"/>
          </w:rPr>
          <w:t xml:space="preserve">[29]</w:t>
        </w:r>
      </w:hyperlink>
      <w:r>
        <w:t xml:space="preserve"> </w:t>
      </w:r>
      <w:hyperlink r:id="rId27">
        <w:r>
          <w:rPr>
            <w:rStyle w:val="Hyperlink"/>
          </w:rPr>
          <w:t xml:space="preserve">[57]</w:t>
        </w:r>
      </w:hyperlink>
      <w:r>
        <w:t xml:space="preserve"> </w:t>
      </w:r>
      <w:hyperlink r:id="rId27">
        <w:r>
          <w:rPr>
            <w:rStyle w:val="Hyperlink"/>
          </w:rPr>
          <w:t xml:space="preserve">[60]</w:t>
        </w:r>
      </w:hyperlink>
      <w:r>
        <w:t xml:space="preserve"> </w:t>
      </w:r>
      <w:hyperlink r:id="rId27">
        <w:r>
          <w:rPr>
            <w:rStyle w:val="Hyperlink"/>
          </w:rPr>
          <w:t xml:space="preserve">[62]</w:t>
        </w:r>
      </w:hyperlink>
      <w:r>
        <w:t xml:space="preserve"> </w:t>
      </w:r>
      <w:r>
        <w:t xml:space="preserve">https://www.regjeringen.no/contentassets/036ffda0c81e4b3f99456a78ec31df0e/arsrapport-dagligvaretilsynet-2024.pdf</w:t>
      </w:r>
    </w:p>
    <w:p>
      <w:pPr>
        <w:pStyle w:val="BodyText"/>
      </w:pPr>
      <w:hyperlink r:id="rId27">
        <w:r>
          <w:rPr>
            <w:rStyle w:val="Hyperlink"/>
          </w:rPr>
          <w:t xml:space="preserve">https://www.regjeringen.no/contentassets/036ffda0c81e4b3f99456a78ec31df0e/arsrapport-dagligvaretilsynet-2024.pdf</w:t>
        </w:r>
      </w:hyperlink>
    </w:p>
    <w:p>
      <w:pPr>
        <w:pStyle w:val="BodyText"/>
      </w:pPr>
      <w:hyperlink r:id="rId28">
        <w:r>
          <w:rPr>
            <w:rStyle w:val="Hyperlink"/>
          </w:rPr>
          <w:t xml:space="preserve">[10]</w:t>
        </w:r>
      </w:hyperlink>
      <w:r>
        <w:t xml:space="preserve"> </w:t>
      </w:r>
      <w:hyperlink r:id="rId28">
        <w:r>
          <w:rPr>
            <w:rStyle w:val="Hyperlink"/>
          </w:rPr>
          <w:t xml:space="preserve">[22]</w:t>
        </w:r>
      </w:hyperlink>
      <w:r>
        <w:t xml:space="preserve"> </w:t>
      </w:r>
      <w:hyperlink r:id="rId28">
        <w:r>
          <w:rPr>
            <w:rStyle w:val="Hyperlink"/>
          </w:rPr>
          <w:t xml:space="preserve">[26]</w:t>
        </w:r>
      </w:hyperlink>
      <w:r>
        <w:t xml:space="preserve"> </w:t>
      </w:r>
      <w:hyperlink r:id="rId28">
        <w:r>
          <w:rPr>
            <w:rStyle w:val="Hyperlink"/>
          </w:rPr>
          <w:t xml:space="preserve">[50]</w:t>
        </w:r>
      </w:hyperlink>
      <w:r>
        <w:t xml:space="preserve"> </w:t>
      </w:r>
      <w:hyperlink r:id="rId28">
        <w:r>
          <w:rPr>
            <w:rStyle w:val="Hyperlink"/>
          </w:rPr>
          <w:t xml:space="preserve">[54]</w:t>
        </w:r>
      </w:hyperlink>
      <w:r>
        <w:t xml:space="preserve"> </w:t>
      </w:r>
      <w:r>
        <w:t xml:space="preserve">https://www.regjeringen.no/contentassets/a46b6fc6d9e44882a47be0621ed899a4/no/pdfs/nou201120110004000dddpdfs.pdf</w:t>
      </w:r>
    </w:p>
    <w:p>
      <w:pPr>
        <w:pStyle w:val="BodyText"/>
      </w:pPr>
      <w:hyperlink r:id="rId28">
        <w:r>
          <w:rPr>
            <w:rStyle w:val="Hyperlink"/>
          </w:rPr>
          <w:t xml:space="preserve">https://www.regjeringen.no/contentassets/a46b6fc6d9e44882a47be0621ed899a4/no/pdfs/nou201120110004000dddpdfs.pdf</w:t>
        </w:r>
      </w:hyperlink>
    </w:p>
    <w:p>
      <w:pPr>
        <w:pStyle w:val="BodyText"/>
      </w:pPr>
      <w:hyperlink r:id="rId29">
        <w:r>
          <w:rPr>
            <w:rStyle w:val="Hyperlink"/>
          </w:rPr>
          <w:t xml:space="preserve">[12]</w:t>
        </w:r>
      </w:hyperlink>
      <w:r>
        <w:t xml:space="preserve"> </w:t>
      </w:r>
      <w:hyperlink r:id="rId29">
        <w:r>
          <w:rPr>
            <w:rStyle w:val="Hyperlink"/>
          </w:rPr>
          <w:t xml:space="preserve">[35]</w:t>
        </w:r>
      </w:hyperlink>
      <w:r>
        <w:t xml:space="preserve"> </w:t>
      </w:r>
      <w:hyperlink r:id="rId29">
        <w:r>
          <w:rPr>
            <w:rStyle w:val="Hyperlink"/>
          </w:rPr>
          <w:t xml:space="preserve">[36]</w:t>
        </w:r>
      </w:hyperlink>
      <w:r>
        <w:t xml:space="preserve"> </w:t>
      </w:r>
      <w:r>
        <w:t xml:space="preserve">https://www.konkurrensverket.se/globalassets/dokument/informationsmaterial/rapporter-och-broschyrer/rapportserie/rapport_2025-5.pdf</w:t>
      </w:r>
    </w:p>
    <w:p>
      <w:pPr>
        <w:pStyle w:val="BodyText"/>
      </w:pPr>
      <w:hyperlink r:id="rId29">
        <w:r>
          <w:rPr>
            <w:rStyle w:val="Hyperlink"/>
          </w:rPr>
          <w:t xml:space="preserve">https://www.konkurrensverket.se/globalassets/dokument/informationsmaterial/rapporter-och-broschyrer/rapportserie/rapport_2025-5.pdf</w:t>
        </w:r>
      </w:hyperlink>
    </w:p>
    <w:p>
      <w:pPr>
        <w:pStyle w:val="BodyText"/>
      </w:pPr>
      <w:hyperlink r:id="rId32">
        <w:r>
          <w:rPr>
            <w:rStyle w:val="Hyperlink"/>
          </w:rPr>
          <w:t xml:space="preserve">[19]</w:t>
        </w:r>
      </w:hyperlink>
      <w:r>
        <w:t xml:space="preserve"> </w:t>
      </w:r>
      <w:hyperlink r:id="rId32">
        <w:r>
          <w:rPr>
            <w:rStyle w:val="Hyperlink"/>
          </w:rPr>
          <w:t xml:space="preserve">[52]</w:t>
        </w:r>
      </w:hyperlink>
      <w:r>
        <w:t xml:space="preserve"> </w:t>
      </w:r>
      <w:r>
        <w:t xml:space="preserve">https://www.regjeringen.no/no/dokumenter/prop.-4-l-20252026/id3124887/?ch=2</w:t>
      </w:r>
    </w:p>
    <w:p>
      <w:pPr>
        <w:pStyle w:val="BodyText"/>
      </w:pPr>
      <w:hyperlink r:id="rId32">
        <w:r>
          <w:rPr>
            <w:rStyle w:val="Hyperlink"/>
          </w:rPr>
          <w:t xml:space="preserve">https://www.regjeringen.no/no/dokumenter/prop.-4-l-20252026/id3124887/?ch=2</w:t>
        </w:r>
      </w:hyperlink>
    </w:p>
    <w:p>
      <w:pPr>
        <w:pStyle w:val="BodyText"/>
      </w:pPr>
      <w:hyperlink r:id="rId34">
        <w:r>
          <w:rPr>
            <w:rStyle w:val="Hyperlink"/>
          </w:rPr>
          <w:t xml:space="preserve">[23]</w:t>
        </w:r>
      </w:hyperlink>
      <w:r>
        <w:t xml:space="preserve"> </w:t>
      </w:r>
      <w:r>
        <w:t xml:space="preserve">https://www.aftenposten.no/norge/i/zGRLq/leverandoerer-redd-for-dagligvarekjedene</w:t>
      </w:r>
    </w:p>
    <w:p>
      <w:pPr>
        <w:pStyle w:val="BodyText"/>
      </w:pPr>
      <w:hyperlink r:id="rId34">
        <w:r>
          <w:rPr>
            <w:rStyle w:val="Hyperlink"/>
          </w:rPr>
          <w:t xml:space="preserve">https://www.aftenposten.no/norge/i/zGRLq/leverandoerer-redd-for-dagligvarekjedene</w:t>
        </w:r>
      </w:hyperlink>
    </w:p>
    <w:p>
      <w:pPr>
        <w:pStyle w:val="BodyText"/>
      </w:pPr>
      <w:hyperlink r:id="rId35">
        <w:r>
          <w:rPr>
            <w:rStyle w:val="Hyperlink"/>
          </w:rPr>
          <w:t xml:space="preserve">[24]</w:t>
        </w:r>
      </w:hyperlink>
      <w:r>
        <w:t xml:space="preserve"> </w:t>
      </w:r>
      <w:hyperlink r:id="rId35">
        <w:r>
          <w:rPr>
            <w:rStyle w:val="Hyperlink"/>
          </w:rPr>
          <w:t xml:space="preserve">[33]</w:t>
        </w:r>
      </w:hyperlink>
      <w:r>
        <w:t xml:space="preserve"> </w:t>
      </w:r>
      <w:hyperlink r:id="rId35">
        <w:r>
          <w:rPr>
            <w:rStyle w:val="Hyperlink"/>
          </w:rPr>
          <w:t xml:space="preserve">[51]</w:t>
        </w:r>
      </w:hyperlink>
      <w:r>
        <w:t xml:space="preserve"> </w:t>
      </w:r>
      <w:hyperlink r:id="rId35">
        <w:r>
          <w:rPr>
            <w:rStyle w:val="Hyperlink"/>
          </w:rPr>
          <w:t xml:space="preserve">[63]</w:t>
        </w:r>
      </w:hyperlink>
      <w:r>
        <w:t xml:space="preserve"> </w:t>
      </w:r>
      <w:hyperlink r:id="rId35">
        <w:r>
          <w:rPr>
            <w:rStyle w:val="Hyperlink"/>
          </w:rPr>
          <w:t xml:space="preserve">[64]</w:t>
        </w:r>
      </w:hyperlink>
      <w:r>
        <w:t xml:space="preserve"> </w:t>
      </w:r>
      <w:hyperlink r:id="rId35">
        <w:r>
          <w:rPr>
            <w:rStyle w:val="Hyperlink"/>
          </w:rPr>
          <w:t xml:space="preserve">[67]</w:t>
        </w:r>
      </w:hyperlink>
      <w:r>
        <w:t xml:space="preserve"> </w:t>
      </w:r>
      <w:hyperlink r:id="rId35">
        <w:r>
          <w:rPr>
            <w:rStyle w:val="Hyperlink"/>
          </w:rPr>
          <w:t xml:space="preserve">[68]</w:t>
        </w:r>
      </w:hyperlink>
      <w:r>
        <w:t xml:space="preserve"> </w:t>
      </w:r>
      <w:r>
        <w:t xml:space="preserve">https://www.dagligvaretilsynet.no/s/Dagligvaretilsynet-Hringssvar-om-endringer-i-lov-om-god-handelsskikk-handheving.pdf</w:t>
      </w:r>
    </w:p>
    <w:p>
      <w:pPr>
        <w:pStyle w:val="BodyText"/>
      </w:pPr>
      <w:hyperlink r:id="rId35">
        <w:r>
          <w:rPr>
            <w:rStyle w:val="Hyperlink"/>
          </w:rPr>
          <w:t xml:space="preserve">https://www.dagligvaretilsynet.no/s/Dagligvaretilsynet-Hringssvar-om-endringer-i-lov-om-god-handelsskikk-handheving.pdf</w:t>
        </w:r>
      </w:hyperlink>
    </w:p>
    <w:p>
      <w:pPr>
        <w:pStyle w:val="BodyText"/>
      </w:pPr>
      <w:hyperlink r:id="rId37">
        <w:r>
          <w:rPr>
            <w:rStyle w:val="Hyperlink"/>
          </w:rPr>
          <w:t xml:space="preserve">[31]</w:t>
        </w:r>
      </w:hyperlink>
      <w:r>
        <w:t xml:space="preserve"> </w:t>
      </w:r>
      <w:r>
        <w:t xml:space="preserve">https://konkurransetilsynet.no/wp-content/uploads/2018/08/betaling-for-hylleplass.pdf</w:t>
      </w:r>
    </w:p>
    <w:p>
      <w:pPr>
        <w:pStyle w:val="BodyText"/>
      </w:pPr>
      <w:hyperlink r:id="rId37">
        <w:r>
          <w:rPr>
            <w:rStyle w:val="Hyperlink"/>
          </w:rPr>
          <w:t xml:space="preserve">https://konkurransetilsynet.no/wp-content/uploads/2018/08/betaling-for-hylleplass.pdf</w:t>
        </w:r>
      </w:hyperlink>
    </w:p>
    <w:p>
      <w:pPr>
        <w:pStyle w:val="BodyText"/>
      </w:pPr>
      <w:hyperlink r:id="rId40">
        <w:r>
          <w:rPr>
            <w:rStyle w:val="Hyperlink"/>
          </w:rPr>
          <w:t xml:space="preserve">[34]</w:t>
        </w:r>
      </w:hyperlink>
      <w:r>
        <w:t xml:space="preserve"> </w:t>
      </w:r>
      <w:hyperlink r:id="rId40">
        <w:r>
          <w:rPr>
            <w:rStyle w:val="Hyperlink"/>
          </w:rPr>
          <w:t xml:space="preserve">[56]</w:t>
        </w:r>
      </w:hyperlink>
      <w:r>
        <w:t xml:space="preserve"> </w:t>
      </w:r>
      <w:hyperlink r:id="rId40">
        <w:r>
          <w:rPr>
            <w:rStyle w:val="Hyperlink"/>
          </w:rPr>
          <w:t xml:space="preserve">[58]</w:t>
        </w:r>
      </w:hyperlink>
      <w:r>
        <w:t xml:space="preserve"> </w:t>
      </w:r>
      <w:hyperlink r:id="rId40">
        <w:r>
          <w:rPr>
            <w:rStyle w:val="Hyperlink"/>
          </w:rPr>
          <w:t xml:space="preserve">[61]</w:t>
        </w:r>
      </w:hyperlink>
      <w:r>
        <w:t xml:space="preserve"> </w:t>
      </w:r>
      <w:r>
        <w:t xml:space="preserve">https://lovdata.no/lov/2020-04-17-29</w:t>
      </w:r>
    </w:p>
    <w:p>
      <w:pPr>
        <w:pStyle w:val="BodyText"/>
      </w:pPr>
      <w:hyperlink r:id="rId40">
        <w:r>
          <w:rPr>
            <w:rStyle w:val="Hyperlink"/>
          </w:rPr>
          <w:t xml:space="preserve">https://lovdata.no/lov/2020-04-17-29</w:t>
        </w:r>
      </w:hyperlink>
    </w:p>
    <w:p>
      <w:pPr>
        <w:pStyle w:val="BodyText"/>
      </w:pPr>
      <w:hyperlink r:id="rId41">
        <w:r>
          <w:rPr>
            <w:rStyle w:val="Hyperlink"/>
          </w:rPr>
          <w:t xml:space="preserve">[38]</w:t>
        </w:r>
      </w:hyperlink>
      <w:r>
        <w:t xml:space="preserve"> </w:t>
      </w:r>
      <w:hyperlink r:id="rId41">
        <w:r>
          <w:rPr>
            <w:rStyle w:val="Hyperlink"/>
          </w:rPr>
          <w:t xml:space="preserve">[41]</w:t>
        </w:r>
      </w:hyperlink>
      <w:r>
        <w:t xml:space="preserve"> </w:t>
      </w:r>
      <w:hyperlink r:id="rId41">
        <w:r>
          <w:rPr>
            <w:rStyle w:val="Hyperlink"/>
          </w:rPr>
          <w:t xml:space="preserve">[45]</w:t>
        </w:r>
      </w:hyperlink>
      <w:r>
        <w:t xml:space="preserve"> </w:t>
      </w:r>
      <w:hyperlink r:id="rId41">
        <w:r>
          <w:rPr>
            <w:rStyle w:val="Hyperlink"/>
          </w:rPr>
          <w:t xml:space="preserve">[47]</w:t>
        </w:r>
      </w:hyperlink>
      <w:r>
        <w:t xml:space="preserve"> </w:t>
      </w:r>
      <w:r>
        <w:t xml:space="preserve">https://agriculture.ec.europa.eu/common-agricultural-policy/agri-food-supply-chain/unfair-trading-practices_en</w:t>
      </w:r>
    </w:p>
    <w:p>
      <w:pPr>
        <w:pStyle w:val="BodyText"/>
      </w:pPr>
      <w:hyperlink r:id="rId41">
        <w:r>
          <w:rPr>
            <w:rStyle w:val="Hyperlink"/>
          </w:rPr>
          <w:t xml:space="preserve">https://agriculture.ec.europa.eu/common-agricultural-policy/agri-food-supply-chain/unfair-trading-practices_en</w:t>
        </w:r>
      </w:hyperlink>
    </w:p>
    <w:p>
      <w:pPr>
        <w:pStyle w:val="BodyText"/>
      </w:pPr>
      <w:hyperlink r:id="rId42">
        <w:r>
          <w:rPr>
            <w:rStyle w:val="Hyperlink"/>
          </w:rPr>
          <w:t xml:space="preserve">[39]</w:t>
        </w:r>
      </w:hyperlink>
      <w:r>
        <w:t xml:space="preserve"> </w:t>
      </w:r>
      <w:hyperlink r:id="rId42">
        <w:r>
          <w:rPr>
            <w:rStyle w:val="Hyperlink"/>
          </w:rPr>
          <w:t xml:space="preserve">[40]</w:t>
        </w:r>
      </w:hyperlink>
      <w:r>
        <w:t xml:space="preserve"> </w:t>
      </w:r>
      <w:r>
        <w:t xml:space="preserve">https://kfst.dk/media/3wxbfqqe/20241120-evaluering-af-foedevarehandelsloven-2024.pdf</w:t>
      </w:r>
    </w:p>
    <w:p>
      <w:pPr>
        <w:pStyle w:val="BodyText"/>
      </w:pPr>
      <w:hyperlink r:id="rId42">
        <w:r>
          <w:rPr>
            <w:rStyle w:val="Hyperlink"/>
          </w:rPr>
          <w:t xml:space="preserve">https://kfst.dk/media/3wxbfqqe/20241120-evaluering-af-foedevarehandelsloven-2024.pdf</w:t>
        </w:r>
      </w:hyperlink>
    </w:p>
    <w:p>
      <w:pPr>
        <w:pStyle w:val="BodyText"/>
      </w:pPr>
      <w:hyperlink r:id="rId43">
        <w:r>
          <w:rPr>
            <w:rStyle w:val="Hyperlink"/>
          </w:rPr>
          <w:t xml:space="preserve">[43]</w:t>
        </w:r>
      </w:hyperlink>
      <w:r>
        <w:t xml:space="preserve"> </w:t>
      </w:r>
      <w:r>
        <w:t xml:space="preserve">https://www.ruokavirasto.fi/en/food-market-ombudsman/regulation/food-market-act/</w:t>
      </w:r>
    </w:p>
    <w:p>
      <w:pPr>
        <w:pStyle w:val="BodyText"/>
      </w:pPr>
      <w:hyperlink r:id="rId43">
        <w:r>
          <w:rPr>
            <w:rStyle w:val="Hyperlink"/>
          </w:rPr>
          <w:t xml:space="preserve">https://www.ruokavirasto.fi/en/food-market-ombudsman/regulation/food-market-act/</w:t>
        </w:r>
      </w:hyperlink>
    </w:p>
    <w:p>
      <w:pPr>
        <w:pStyle w:val="BodyText"/>
      </w:pPr>
      <w:hyperlink r:id="rId44">
        <w:r>
          <w:rPr>
            <w:rStyle w:val="Hyperlink"/>
          </w:rPr>
          <w:t xml:space="preserve">[44]</w:t>
        </w:r>
      </w:hyperlink>
      <w:r>
        <w:t xml:space="preserve"> </w:t>
      </w:r>
      <w:r>
        <w:t xml:space="preserve">https://www.ruokavirasto.fi/globalassets/etmv/etmv-toimintakertomus-2024.pdf</w:t>
      </w:r>
    </w:p>
    <w:p>
      <w:pPr>
        <w:pStyle w:val="BodyText"/>
      </w:pPr>
      <w:hyperlink r:id="rId44">
        <w:r>
          <w:rPr>
            <w:rStyle w:val="Hyperlink"/>
          </w:rPr>
          <w:t xml:space="preserve">https://www.ruokavirasto.fi/globalassets/etmv/etmv-toimintakertomus-2024.pdf</w:t>
        </w:r>
      </w:hyperlink>
    </w:p>
    <w:p>
      <w:pPr>
        <w:pStyle w:val="BodyText"/>
      </w:pPr>
      <w:hyperlink r:id="rId46">
        <w:r>
          <w:rPr>
            <w:rStyle w:val="Hyperlink"/>
          </w:rPr>
          <w:t xml:space="preserve">[48]</w:t>
        </w:r>
      </w:hyperlink>
      <w:r>
        <w:t xml:space="preserve"> </w:t>
      </w:r>
      <w:hyperlink r:id="rId46">
        <w:r>
          <w:rPr>
            <w:rStyle w:val="Hyperlink"/>
          </w:rPr>
          <w:t xml:space="preserve">[66]</w:t>
        </w:r>
      </w:hyperlink>
      <w:r>
        <w:t xml:space="preserve"> </w:t>
      </w:r>
      <w:r>
        <w:t xml:space="preserve">https://konkurransetilsynet.no/wp-content/uploads/2025/04/Konkurransetilsynets-Dagligvarerapport-2024-25.pdf</w:t>
      </w:r>
    </w:p>
    <w:p>
      <w:pPr>
        <w:pStyle w:val="BodyText"/>
      </w:pPr>
      <w:hyperlink r:id="rId46">
        <w:r>
          <w:rPr>
            <w:rStyle w:val="Hyperlink"/>
          </w:rPr>
          <w:t xml:space="preserve">https://konkurransetilsynet.no/wp-content/uploads/2025/04/Konkurransetilsynets-Dagligvarerapport-2024-25.pdf</w:t>
        </w:r>
      </w:hyperlink>
    </w:p>
    <w:p>
      <w:pPr>
        <w:pStyle w:val="BodyText"/>
      </w:pPr>
      <w:hyperlink r:id="rId51">
        <w:r>
          <w:rPr>
            <w:rStyle w:val="Hyperlink"/>
          </w:rPr>
          <w:t xml:space="preserve">[70]</w:t>
        </w:r>
      </w:hyperlink>
      <w:r>
        <w:t xml:space="preserve"> </w:t>
      </w:r>
      <w:r>
        <w:t xml:space="preserve">https://www.regjeringen.no/contentassets/036ffda0c81e4b3f99456a78ec31df0e/konkurransetilsynet-kt-tildelingsbrev-for-2026.pdf</w:t>
      </w:r>
    </w:p>
    <w:p>
      <w:pPr>
        <w:pStyle w:val="BodyText"/>
      </w:pPr>
      <w:hyperlink r:id="rId51">
        <w:r>
          <w:rPr>
            <w:rStyle w:val="Hyperlink"/>
          </w:rPr>
          <w:t xml:space="preserve">https://www.regjeringen.no/contentassets/036ffda0c81e4b3f99456a78ec31df0e/konkurransetilsynet-kt-tildelingsbrev-for-2026.pdf</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griculture.ec.europa.eu/common-agricultural-policy/agri-food-supply-chain/unfair-trading-practices_en" TargetMode="External" /><Relationship Type="http://schemas.openxmlformats.org/officeDocument/2006/relationships/hyperlink" Id="rId42" Target="https://kfst.dk/media/3wxbfqqe/20241120-evaluering-af-foedevarehandelsloven-2024.pdf" TargetMode="External" /><Relationship Type="http://schemas.openxmlformats.org/officeDocument/2006/relationships/hyperlink" Id="rId37" Target="https://konkurransetilsynet.no/wp-content/uploads/2018/08/betaling-for-hylleplass.pdf" TargetMode="External" /><Relationship Type="http://schemas.openxmlformats.org/officeDocument/2006/relationships/hyperlink" Id="rId46" Target="https://konkurransetilsynet.no/wp-content/uploads/2025/04/Konkurransetilsynets-Dagligvarerapport-2024-25.pdf" TargetMode="External" /><Relationship Type="http://schemas.openxmlformats.org/officeDocument/2006/relationships/hyperlink" Id="rId23" Target="https://lovdata.no/LTI/lov/2020-04-17-29" TargetMode="External" /><Relationship Type="http://schemas.openxmlformats.org/officeDocument/2006/relationships/hyperlink" Id="rId24" Target="https://lovdata.no/forskrift/2026-04-17-601?utm_source=chatgpt.com" TargetMode="External" /><Relationship Type="http://schemas.openxmlformats.org/officeDocument/2006/relationships/hyperlink" Id="rId40" Target="https://lovdata.no/lov/2020-04-17-29" TargetMode="External" /><Relationship Type="http://schemas.openxmlformats.org/officeDocument/2006/relationships/hyperlink" Id="rId34" Target="https://www.aftenposten.no/norge/i/zGRLq/leverandoerer-redd-for-dagligvarekjedene" TargetMode="External" /><Relationship Type="http://schemas.openxmlformats.org/officeDocument/2006/relationships/hyperlink" Id="rId35" Target="https://www.dagligvaretilsynet.no/s/Dagligvaretilsynet-Hringssvar-om-endringer-i-lov-om-god-handelsskikk-handheving.pdf" TargetMode="External" /><Relationship Type="http://schemas.openxmlformats.org/officeDocument/2006/relationships/hyperlink" Id="rId22" Target="https://www.dagligvaretilsynet.no/s/Rapport-om-Samarbeidsklimaet-i-Dagligvarebransjen-2023.pdf" TargetMode="External" /><Relationship Type="http://schemas.openxmlformats.org/officeDocument/2006/relationships/hyperlink" Id="rId29" Target="https://www.konkurrensverket.se/globalassets/dokument/informationsmaterial/rapporter-och-broschyrer/rapportserie/rapport_2025-5.pdf" TargetMode="External" /><Relationship Type="http://schemas.openxmlformats.org/officeDocument/2006/relationships/hyperlink" Id="rId27" Target="https://www.regjeringen.no/contentassets/036ffda0c81e4b3f99456a78ec31df0e/arsrapport-dagligvaretilsynet-2024.pdf" TargetMode="External" /><Relationship Type="http://schemas.openxmlformats.org/officeDocument/2006/relationships/hyperlink" Id="rId51" Target="https://www.regjeringen.no/contentassets/036ffda0c81e4b3f99456a78ec31df0e/konkurransetilsynet-kt-tildelingsbrev-for-2026.pdf" TargetMode="External" /><Relationship Type="http://schemas.openxmlformats.org/officeDocument/2006/relationships/hyperlink" Id="rId21" Target="https://www.regjeringen.no/contentassets/859d5021b8c84701800831babe1ff660/horingsnotat-om-forslag-til-endringer-i-lov-om-god-handelsskikk.pdf" TargetMode="External" /><Relationship Type="http://schemas.openxmlformats.org/officeDocument/2006/relationships/hyperlink" Id="rId28" Target="https://www.regjeringen.no/contentassets/a46b6fc6d9e44882a47be0621ed899a4/no/pdfs/nou201120110004000dddpdfs.pdf" TargetMode="External" /><Relationship Type="http://schemas.openxmlformats.org/officeDocument/2006/relationships/hyperlink" Id="rId25" Target="https://www.regjeringen.no/no/dokumenter/prop.-33-l-20192020/id2681097/?ch=2" TargetMode="External" /><Relationship Type="http://schemas.openxmlformats.org/officeDocument/2006/relationships/hyperlink" Id="rId32" Target="https://www.regjeringen.no/no/dokumenter/prop.-4-l-20252026/id3124887/?ch=2" TargetMode="External" /><Relationship Type="http://schemas.openxmlformats.org/officeDocument/2006/relationships/hyperlink" Id="rId43" Target="https://www.ruokavirasto.fi/en/food-market-ombudsman/regulation/food-market-act/" TargetMode="External" /><Relationship Type="http://schemas.openxmlformats.org/officeDocument/2006/relationships/hyperlink" Id="rId44" Target="https://www.ruokavirasto.fi/globalassets/etmv/etmv-toimintakertomus-2024.pdf" TargetMode="External" /></Relationships>
</file>

<file path=word/_rels/footnotes.xml.rels><?xml version="1.0" encoding="UTF-8"?><Relationships xmlns="http://schemas.openxmlformats.org/package/2006/relationships"><Relationship Type="http://schemas.openxmlformats.org/officeDocument/2006/relationships/hyperlink" Id="rId41" Target="https://agriculture.ec.europa.eu/common-agricultural-policy/agri-food-supply-chain/unfair-trading-practices_en" TargetMode="External" /><Relationship Type="http://schemas.openxmlformats.org/officeDocument/2006/relationships/hyperlink" Id="rId42" Target="https://kfst.dk/media/3wxbfqqe/20241120-evaluering-af-foedevarehandelsloven-2024.pdf" TargetMode="External" /><Relationship Type="http://schemas.openxmlformats.org/officeDocument/2006/relationships/hyperlink" Id="rId37" Target="https://konkurransetilsynet.no/wp-content/uploads/2018/08/betaling-for-hylleplass.pdf" TargetMode="External" /><Relationship Type="http://schemas.openxmlformats.org/officeDocument/2006/relationships/hyperlink" Id="rId46" Target="https://konkurransetilsynet.no/wp-content/uploads/2025/04/Konkurransetilsynets-Dagligvarerapport-2024-25.pdf" TargetMode="External" /><Relationship Type="http://schemas.openxmlformats.org/officeDocument/2006/relationships/hyperlink" Id="rId23" Target="https://lovdata.no/LTI/lov/2020-04-17-29" TargetMode="External" /><Relationship Type="http://schemas.openxmlformats.org/officeDocument/2006/relationships/hyperlink" Id="rId24" Target="https://lovdata.no/forskrift/2026-04-17-601?utm_source=chatgpt.com" TargetMode="External" /><Relationship Type="http://schemas.openxmlformats.org/officeDocument/2006/relationships/hyperlink" Id="rId40" Target="https://lovdata.no/lov/2020-04-17-29" TargetMode="External" /><Relationship Type="http://schemas.openxmlformats.org/officeDocument/2006/relationships/hyperlink" Id="rId34" Target="https://www.aftenposten.no/norge/i/zGRLq/leverandoerer-redd-for-dagligvarekjedene" TargetMode="External" /><Relationship Type="http://schemas.openxmlformats.org/officeDocument/2006/relationships/hyperlink" Id="rId35" Target="https://www.dagligvaretilsynet.no/s/Dagligvaretilsynet-Hringssvar-om-endringer-i-lov-om-god-handelsskikk-handheving.pdf" TargetMode="External" /><Relationship Type="http://schemas.openxmlformats.org/officeDocument/2006/relationships/hyperlink" Id="rId22" Target="https://www.dagligvaretilsynet.no/s/Rapport-om-Samarbeidsklimaet-i-Dagligvarebransjen-2023.pdf" TargetMode="External" /><Relationship Type="http://schemas.openxmlformats.org/officeDocument/2006/relationships/hyperlink" Id="rId29" Target="https://www.konkurrensverket.se/globalassets/dokument/informationsmaterial/rapporter-och-broschyrer/rapportserie/rapport_2025-5.pdf" TargetMode="External" /><Relationship Type="http://schemas.openxmlformats.org/officeDocument/2006/relationships/hyperlink" Id="rId27" Target="https://www.regjeringen.no/contentassets/036ffda0c81e4b3f99456a78ec31df0e/arsrapport-dagligvaretilsynet-2024.pdf" TargetMode="External" /><Relationship Type="http://schemas.openxmlformats.org/officeDocument/2006/relationships/hyperlink" Id="rId51" Target="https://www.regjeringen.no/contentassets/036ffda0c81e4b3f99456a78ec31df0e/konkurransetilsynet-kt-tildelingsbrev-for-2026.pdf" TargetMode="External" /><Relationship Type="http://schemas.openxmlformats.org/officeDocument/2006/relationships/hyperlink" Id="rId21" Target="https://www.regjeringen.no/contentassets/859d5021b8c84701800831babe1ff660/horingsnotat-om-forslag-til-endringer-i-lov-om-god-handelsskikk.pdf" TargetMode="External" /><Relationship Type="http://schemas.openxmlformats.org/officeDocument/2006/relationships/hyperlink" Id="rId28" Target="https://www.regjeringen.no/contentassets/a46b6fc6d9e44882a47be0621ed899a4/no/pdfs/nou201120110004000dddpdfs.pdf" TargetMode="External" /><Relationship Type="http://schemas.openxmlformats.org/officeDocument/2006/relationships/hyperlink" Id="rId25" Target="https://www.regjeringen.no/no/dokumenter/prop.-33-l-20192020/id2681097/?ch=2" TargetMode="External" /><Relationship Type="http://schemas.openxmlformats.org/officeDocument/2006/relationships/hyperlink" Id="rId32" Target="https://www.regjeringen.no/no/dokumenter/prop.-4-l-20252026/id3124887/?ch=2" TargetMode="External" /><Relationship Type="http://schemas.openxmlformats.org/officeDocument/2006/relationships/hyperlink" Id="rId43" Target="https://www.ruokavirasto.fi/en/food-market-ombudsman/regulation/food-market-act/" TargetMode="External" /><Relationship Type="http://schemas.openxmlformats.org/officeDocument/2006/relationships/hyperlink" Id="rId44" Target="https://www.ruokavirasto.fi/globalassets/etmv/etmv-toimintakertomus-202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2026-04-20T05:58:32Z</dcterms:created>
  <dcterms:modified xsi:type="dcterms:W3CDTF">2026-04-20T05:58:32Z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