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5e5384519ee9ca73787abf49455bd500a13b0ba"/>
    <w:p>
      <w:pPr>
        <w:pStyle w:val="Heading1"/>
      </w:pPr>
      <w:r>
        <w:t xml:space="preserve">Nordisk analyse av HORECA, offentlige måltider og institusjonelle innkjøp i matsystemet</w:t>
      </w:r>
    </w:p>
    <w:bookmarkStart w:id="26" w:name="hovedfunn"/>
    <w:p>
      <w:pPr>
        <w:pStyle w:val="Heading2"/>
      </w:pPr>
      <w:r>
        <w:t xml:space="preserve">Hovedfunn</w:t>
      </w:r>
    </w:p>
    <w:p>
      <w:pPr>
        <w:pStyle w:val="FirstParagraph"/>
      </w:pPr>
      <w:r>
        <w:t xml:space="preserve">Denne analysen omfatter Danmark</w:t>
      </w:r>
      <w:hyperlink r:id="rId21">
        <w:r>
          <w:rPr>
            <w:rStyle w:val="Hyperlink"/>
          </w:rPr>
          <w:t xml:space="preserve">[1]</w:t>
        </w:r>
      </w:hyperlink>
      <w:r>
        <w:t xml:space="preserve">, Sverige</w:t>
      </w:r>
      <w:hyperlink r:id="rId22">
        <w:r>
          <w:rPr>
            <w:rStyle w:val="Hyperlink"/>
          </w:rPr>
          <w:t xml:space="preserve">[2]</w:t>
        </w:r>
      </w:hyperlink>
      <w:r>
        <w:t xml:space="preserve">, Finland</w:t>
      </w:r>
      <w:hyperlink r:id="rId23">
        <w:r>
          <w:rPr>
            <w:rStyle w:val="Hyperlink"/>
          </w:rPr>
          <w:t xml:space="preserve">[3]</w:t>
        </w:r>
      </w:hyperlink>
      <w:r>
        <w:t xml:space="preserve">, Norge</w:t>
      </w:r>
      <w:hyperlink r:id="rId24">
        <w:r>
          <w:rPr>
            <w:rStyle w:val="Hyperlink"/>
          </w:rPr>
          <w:t xml:space="preserve">[4]</w:t>
        </w:r>
      </w:hyperlink>
      <w:r>
        <w:t xml:space="preserve"> </w:t>
      </w:r>
      <w:r>
        <w:t xml:space="preserve">og, der det finnes sammenlignbare data, Island</w:t>
      </w:r>
      <w:hyperlink r:id="rId23">
        <w:r>
          <w:rPr>
            <w:rStyle w:val="Hyperlink"/>
          </w:rPr>
          <w:t xml:space="preserve">[5]</w:t>
        </w:r>
      </w:hyperlink>
      <w:r>
        <w:t xml:space="preserve">. Det viktigste bildet er at offentlige måltider er en stor, men ujevnt målt del av matsystemet: en nordisk rapport anslår at det serveres om lag 5,5 millioner offentlige måltider daglig i Norden, men de mest sammenlignbare volummålene finnes særlig for Sverige, Finland og bynivået i København, mens Norge og Island har mer fragmenterte datasett. I Sverige brukes 3 millioner offentlige måltider daglig som styringsreferanse, i Finland har nesten 850 000 barn og unge rett til gratis skolemåltid, og i København alene produseres rundt 70 000 kommunale måltider per dag.</w:t>
      </w:r>
      <w:r>
        <w:t xml:space="preserve"> </w:t>
      </w:r>
      <w:hyperlink r:id="rId25">
        <w:r>
          <w:rPr>
            <w:rStyle w:val="Hyperlink"/>
          </w:rPr>
          <w:t xml:space="preserve">[6]</w:t>
        </w:r>
      </w:hyperlink>
    </w:p>
    <w:p>
      <w:pPr>
        <w:pStyle w:val="BodyText"/>
      </w:pPr>
      <w:r>
        <w:t xml:space="preserve">Det andre hovedfunnet er at grossistledd, logistikkvalg og kontraktarkitektur i praksis betyr like mye som selve menyinnholdet. Sverige, Finland, Norge og Danmark har alle rammeverk som gjør det mulig å bruke offentlige innkjøp til å styre klima, ernæring, dyrevelferd, emballasje, matsvinn og leverandørstruktur, men effekten utløses først når anbudene kobler krav til menyplanlegging, distribusjon, kontraktsoppfølging og leverandørdialog. Det er derfor mer presist å se offentlige måltider som en markedsformende infrastruktur enn som en ren «etterspørselskategori».</w:t>
      </w:r>
      <w:r>
        <w:t xml:space="preserve"> </w:t>
      </w:r>
      <w:hyperlink r:id="rId22">
        <w:r>
          <w:rPr>
            <w:rStyle w:val="Hyperlink"/>
          </w:rPr>
          <w:t xml:space="preserve">[7]</w:t>
        </w:r>
      </w:hyperlink>
    </w:p>
    <w:p>
      <w:pPr>
        <w:pStyle w:val="BodyText"/>
      </w:pPr>
      <w:r>
        <w:t xml:space="preserve">Det tredje hovedfunnet er at overgangsmulighetene er størst der offentlig kjøpekraft møter mellomledd som faktisk kan endre vareflyt. I Sverige peker offentlige kilder på at logistikkløsninger, kontraktsdeling og samordnede varedistribusjonsmodeller er avgjørende for å få inn mindre og lokale leverandører. I Finland er menyplanlegging, kontraktsvilkår og markeddialog eksplisitt koblet i den nasjonale veiledningen. I Norge brukes nå klima- og miljøvekting som hovedregel i anskaffelser, mens Danmark viser at stor offentlig etterspørsel kan drive høy økologiandel og systemendring når kjøkkenkompetanse og innkjøp bygges sammen.</w:t>
      </w:r>
      <w:r>
        <w:t xml:space="preserve"> </w:t>
      </w:r>
      <w:hyperlink r:id="rId21">
        <w:r>
          <w:rPr>
            <w:rStyle w:val="Hyperlink"/>
          </w:rPr>
          <w:t xml:space="preserve">[8]</w:t>
        </w:r>
      </w:hyperlink>
    </w:p>
    <w:bookmarkEnd w:id="26"/>
    <w:bookmarkStart w:id="31" w:name="markedsoversikt"/>
    <w:p>
      <w:pPr>
        <w:pStyle w:val="Heading2"/>
      </w:pPr>
      <w:r>
        <w:t xml:space="preserve">Markedsoversikt</w:t>
      </w:r>
    </w:p>
    <w:p>
      <w:pPr>
        <w:pStyle w:val="FirstParagraph"/>
      </w:pPr>
      <w:r>
        <w:t xml:space="preserve">Det nordiske «foodservice»-feltet består i praksis av to delmarkeder som ofte blandes sammen i debatten: et kommersielt HORECA-marked med restauranter, hoteller, kafeer og kantiner, og et institusjonelt marked med skoler, barnehager, sykehus, eldreomsorg, offentlig kantine og andre storkjøkken. De best dokumenterte kommersielle volumene i materialet er Sverige, der foodservice-markedet ventes å nå om lag SEK 145 milliarder i 2025, og Finland, der Kesko oppgir det finske foodservice-markedet til om lag EUR 2,5 milliarder. For Danmark finnes gode data om offentlig kjøkkenomlegging og grossiststruktur, men mindre konsistente åpne nøkkeltall for samlet foodservice sammenlignet med Sverige og Finland.</w:t>
      </w:r>
      <w:r>
        <w:t xml:space="preserve"> </w:t>
      </w:r>
      <w:hyperlink r:id="rId23">
        <w:r>
          <w:rPr>
            <w:rStyle w:val="Hyperlink"/>
          </w:rPr>
          <w:t xml:space="preserve">[9]</w:t>
        </w:r>
      </w:hyperlink>
    </w:p>
    <w:p>
      <w:pPr>
        <w:pStyle w:val="BodyText"/>
      </w:pPr>
      <w:r>
        <w:t xml:space="preserve">I Sverige er den offentlige måltidsøkonomien betydelig og forholdsvis godt kartlagt. Ifølge Upphandlingsmyndigheten</w:t>
      </w:r>
      <w:hyperlink r:id="rId27">
        <w:r>
          <w:rPr>
            <w:rStyle w:val="Hyperlink"/>
          </w:rPr>
          <w:t xml:space="preserve">[10]</w:t>
        </w:r>
      </w:hyperlink>
      <w:r>
        <w:t xml:space="preserve"> </w:t>
      </w:r>
      <w:r>
        <w:t xml:space="preserve">serveres det 3 millioner måltider daglig i vård, skole og omsorg, og i 2019 betalte statlige myndigheter, kommuner og regioner nesten SEK 10 milliarder til leverandører av matvarer og SEK 2 milliarder til leverandører av måltidstjenester; samme år ble det annonsert 353 anskaffelser av mat og måltidstjenester. Samtidig beskriver svenske myndigheter skolemåltidet som et massevelferdstilbud: om lag 1,3 millioner elever spiser skolelunsj, og det serveres rundt 260 millioner skolemåltider årlig. Dette gjør Sverige til den tydeligste nordiske kombinasjonen av høyt offentlig volum og moden anskaffelsespraksis.</w:t>
      </w:r>
      <w:r>
        <w:t xml:space="preserve"> </w:t>
      </w:r>
      <w:hyperlink r:id="rId22">
        <w:r>
          <w:rPr>
            <w:rStyle w:val="Hyperlink"/>
          </w:rPr>
          <w:t xml:space="preserve">[11]</w:t>
        </w:r>
      </w:hyperlink>
    </w:p>
    <w:p>
      <w:pPr>
        <w:pStyle w:val="BodyText"/>
      </w:pPr>
      <w:r>
        <w:t xml:space="preserve">I Finland er den mest robuste volumindikatoren skolemåltidet, men systemet strekker seg langt utover skolen. Utbildningsstyrelsen</w:t>
      </w:r>
      <w:hyperlink r:id="rId21">
        <w:r>
          <w:rPr>
            <w:rStyle w:val="Hyperlink"/>
          </w:rPr>
          <w:t xml:space="preserve">[12]</w:t>
        </w:r>
      </w:hyperlink>
      <w:r>
        <w:t xml:space="preserve"> </w:t>
      </w:r>
      <w:r>
        <w:t xml:space="preserve">oppgir at nesten 850 000 elever og studenter har rett til gratis skolelunsj, og en nordisk policyrapport beskriver også at omtrent halvparten av arbeidsstyrken har tilgang til subsidiert lunsj i arbeidsplasskantiner. Bransjekilder anslår at profesjonelle kjøkken i Finland produserer omtrent 750–868 millioner måltider per år, mens Kespro</w:t>
      </w:r>
      <w:hyperlink r:id="rId28">
        <w:r>
          <w:rPr>
            <w:rStyle w:val="Hyperlink"/>
          </w:rPr>
          <w:t xml:space="preserve">[13]</w:t>
        </w:r>
      </w:hyperlink>
      <w:r>
        <w:t xml:space="preserve"> </w:t>
      </w:r>
      <w:r>
        <w:t xml:space="preserve">oppgir at det finske foodservice-markedet var om lag EUR 2,5 milliarder i 2025 og at selskapet alene hadde rundt 49 prosent markedsandel i foodservice-engros. Finland er dermed et av de nordiske markedene der koblingen mellom storkjøkken, arbeidsplasskantiner, offentlig mat og grossistledd er sterkest.</w:t>
      </w:r>
      <w:r>
        <w:t xml:space="preserve"> </w:t>
      </w:r>
      <w:hyperlink r:id="rId28">
        <w:r>
          <w:rPr>
            <w:rStyle w:val="Hyperlink"/>
          </w:rPr>
          <w:t xml:space="preserve">[14]</w:t>
        </w:r>
      </w:hyperlink>
    </w:p>
    <w:p>
      <w:pPr>
        <w:pStyle w:val="BodyText"/>
      </w:pPr>
      <w:r>
        <w:t xml:space="preserve">I Danmark er det mer nyttig å lese markedet gjennom offentlige kjøkken og økologi enn gjennom et nasjonalt skolematregime. Den danske økologiske spisemerkemodellen omfatter nå over 3 500 serveringssteder, både offentlige og private. På bynivå viser tall fra København at de kommunale kjøkkenene tilbereder om lag 70 000 måltider daglig i rundt 1 000 institusjoner, med over 1 750 kjøkkenansatte, og at kommunens totale matinnkjøp overstiger 10 000 tonn, tilsvarende mer enn 10 prosent av Danmarks offentlige innkjøp av matvarer. I samme system har 87 prosent av skolebarna tilgang til kommunale skolemåltider, og 11 000–13 000 barn spiser dem daglig. I tillegg har Danmark fra 2025 satt i gang en nasjonal forsøksordning for skolemat med finansiering over fire år og 191 deltakende skoler.</w:t>
      </w:r>
      <w:r>
        <w:t xml:space="preserve"> </w:t>
      </w:r>
      <w:hyperlink r:id="rId27">
        <w:r>
          <w:rPr>
            <w:rStyle w:val="Hyperlink"/>
          </w:rPr>
          <w:t xml:space="preserve">[15]</w:t>
        </w:r>
      </w:hyperlink>
    </w:p>
    <w:p>
      <w:pPr>
        <w:pStyle w:val="BodyText"/>
      </w:pPr>
      <w:r>
        <w:t xml:space="preserve">I Norge er det offentlige måltidssystemet mindre institusjonalisert på skolesiden og mer fragmentert i åpne data. Det finnes ikke noe nasjonalt skolemåltidsprogram; i grunnskolen er matpakke hjemmefra fortsatt vanligste ordning. En nasjonal undersøkelse viste at 45 prosent av ungdomsskolene, men bare 6 prosent av de videregående skolene, tilbød et gratis daglig måltid. Samtidig viser nasjonale hospital- og ernæringskartlegginger at institusjonsmat er høyst relevant som del av helsepolitikken: det mangler oversikt over kvaliteten på mattilbudet i norske sykehus, og Helsedirektoratets kartlegging i spesialisthelsetjenesten peker på at omtrent en tredel av pasientene i studiene hadde underernæring eller risiko for underernæring. For Norge betyr dette at det største overgangspotensialet sannsynligvis ligger i å tenke skole, sykehus, pleie og offentlige kantiner i samme anskaffelses- og ernæringslogikk.</w:t>
      </w:r>
      <w:r>
        <w:t xml:space="preserve"> </w:t>
      </w:r>
      <w:hyperlink r:id="rId29">
        <w:r>
          <w:rPr>
            <w:rStyle w:val="Hyperlink"/>
          </w:rPr>
          <w:t xml:space="preserve">[16]</w:t>
        </w:r>
      </w:hyperlink>
    </w:p>
    <w:p>
      <w:pPr>
        <w:pStyle w:val="BodyText"/>
      </w:pPr>
      <w:r>
        <w:t xml:space="preserve">For Island finnes færre sammenlignbare nasjonale markedsdata, men det finnes kommunale signaler som viser at også islandske offentlige måltider er i bevegelse. Reykjavík</w:t>
      </w:r>
      <w:hyperlink r:id="rId23">
        <w:r>
          <w:rPr>
            <w:rStyle w:val="Hyperlink"/>
          </w:rPr>
          <w:t xml:space="preserve">[17]</w:t>
        </w:r>
      </w:hyperlink>
      <w:r>
        <w:t xml:space="preserve"> </w:t>
      </w:r>
      <w:r>
        <w:t xml:space="preserve">opplyser at grunnskolemåltider er gratis dette året, og at skolene enten har eget kjøkken eller kjøper fra eksterne matleverandører. Det er nyttig som nordisk ytterpunkt: ikke som volumbenchmark, men som påminnelse om at kommunal praksis kan bevege seg raskere enn nasjonale systemer.</w:t>
      </w:r>
      <w:r>
        <w:t xml:space="preserve"> </w:t>
      </w:r>
      <w:hyperlink r:id="rId30">
        <w:r>
          <w:rPr>
            <w:rStyle w:val="Hyperlink"/>
          </w:rPr>
          <w:t xml:space="preserve">[18]</w:t>
        </w:r>
      </w:hyperlink>
    </w:p>
    <w:bookmarkEnd w:id="31"/>
    <w:bookmarkStart w:id="38" w:name="policy--og-innkjøpsoversikt"/>
    <w:p>
      <w:pPr>
        <w:pStyle w:val="Heading2"/>
      </w:pPr>
      <w:r>
        <w:t xml:space="preserve">Policy- og innkjøpsoversikt</w:t>
      </w:r>
    </w:p>
    <w:p>
      <w:pPr>
        <w:pStyle w:val="FirstParagraph"/>
      </w:pPr>
      <w:r>
        <w:t xml:space="preserve">På tvers av Norden hviler innkjøpsreglene på et felles europeisk anskaffelsesrammeverk, men den operative forskjellen ligger i hvordan landene oversetter regelverket til mat- og måltidslogikk. Fellesnevneren er at offentlige kjøpere kan anskaffe enten varer, måltidstjenester eller en kombinasjon av begge. Det åpner for tre ulike styringsgrep: kravspesifikasjon til råvarer og produksjon, tildelingskriterier som belønner bedre løsninger, og kontraktsvilkår som styrer oppfølging etter avtaleinngåelse. I matsektoren er dette avgjørende, fordi store deler av klima- og matsystemeffekten oppstår etter at kontrakten er signert, gjennom menyer, logistikk, emballasje, svinnrutiner og kjøkkenpraksis.</w:t>
      </w:r>
      <w:r>
        <w:t xml:space="preserve"> </w:t>
      </w:r>
      <w:hyperlink r:id="rId32">
        <w:r>
          <w:rPr>
            <w:rStyle w:val="Hyperlink"/>
          </w:rPr>
          <w:t xml:space="preserve">[19]</w:t>
        </w:r>
      </w:hyperlink>
    </w:p>
    <w:p>
      <w:pPr>
        <w:pStyle w:val="BodyText"/>
      </w:pPr>
      <w:r>
        <w:t xml:space="preserve">I Finland er denne kontraktslogikken særlig tydelig formulert. Motiva</w:t>
      </w:r>
      <w:hyperlink r:id="rId33">
        <w:r>
          <w:rPr>
            <w:rStyle w:val="Hyperlink"/>
          </w:rPr>
          <w:t xml:space="preserve">[20]</w:t>
        </w:r>
      </w:hyperlink>
      <w:r>
        <w:t xml:space="preserve"> </w:t>
      </w:r>
      <w:r>
        <w:t xml:space="preserve">anbefaler at kriteriene kobles til kontraktsvilkår og menyplanlegging, og åpner for at en foreløpig meny kan brukes enten som minstekrav eller som evalueringskriterium. Veilederen anbefaler videre at kjøper starter med utvalgte ansvarskriterier, justerer nivåene etter mål og markedsforhold, gjennomfører markeddialog og planlegger verifikasjon før anbudet lyses ut. Dette er i praksis en overgangslogikk: mindre «kjøp lavest pris per varelinje», mer «design en leverandørstruktur som kan levere et ansvarlig måltid over tid».</w:t>
      </w:r>
      <w:r>
        <w:t xml:space="preserve"> </w:t>
      </w:r>
      <w:hyperlink r:id="rId34">
        <w:r>
          <w:rPr>
            <w:rStyle w:val="Hyperlink"/>
          </w:rPr>
          <w:t xml:space="preserve">[21]</w:t>
        </w:r>
      </w:hyperlink>
    </w:p>
    <w:p>
      <w:pPr>
        <w:pStyle w:val="BodyText"/>
      </w:pPr>
      <w:r>
        <w:t xml:space="preserve">I Sverige er styringsbildet todelt. Den ene delen er helse- og velferdsreguleringen: Livsmedelsverket</w:t>
      </w:r>
      <w:hyperlink r:id="rId34">
        <w:r>
          <w:rPr>
            <w:rStyle w:val="Hyperlink"/>
          </w:rPr>
          <w:t xml:space="preserve">[22]</w:t>
        </w:r>
      </w:hyperlink>
      <w:r>
        <w:t xml:space="preserve"> </w:t>
      </w:r>
      <w:r>
        <w:t xml:space="preserve">har slått fast at skolelunsjer skal være både gratis og næringsriktige, og de offentlige måltidene ses eksplisitt som bærer av helse, klima og sosial bærekraft. Den andre delen er innkjøpspraksisen: svenske myndigheter har utviklet bærekraftskriterier for mat og måltidstjenester som omfatter blant annet klima, dyrevelferd, sosiale vilkår og sirkulære løsninger som emballasje og returkasser. Samtidig er Sverige et godt eksempel på at nasjonale økologimål ikke nødvendigvis er stabile: den ikke-bindende 60-prosentambisjonen for økologiske matvarer i offentlig sektor fra 2017-strategien er ikke videreført som prosentmål i Livsmedelsstrategin 2.0 fra 2025.</w:t>
      </w:r>
      <w:r>
        <w:t xml:space="preserve"> </w:t>
      </w:r>
      <w:hyperlink r:id="rId35">
        <w:r>
          <w:rPr>
            <w:rStyle w:val="Hyperlink"/>
          </w:rPr>
          <w:t xml:space="preserve">[23]</w:t>
        </w:r>
      </w:hyperlink>
    </w:p>
    <w:p>
      <w:pPr>
        <w:pStyle w:val="BodyText"/>
      </w:pPr>
      <w:r>
        <w:t xml:space="preserve">Danmark skiller seg ut ved å ha et konkret, statsstyrt økologisk labelregime for kjøkken. Danmarks veterinær-, fødevare- og landbrugsstyrelse</w:t>
      </w:r>
      <w:hyperlink r:id="rId34">
        <w:r>
          <w:rPr>
            <w:rStyle w:val="Hyperlink"/>
          </w:rPr>
          <w:t xml:space="preserve">[24]</w:t>
        </w:r>
      </w:hyperlink>
      <w:r>
        <w:t xml:space="preserve"> </w:t>
      </w:r>
      <w:r>
        <w:t xml:space="preserve">forvalter Det Økologiske Spisemærke, som graderer kjøkken etter 30–60 prosent, 60–90 prosent og 90–100 prosent økologiske innkjøp. Samtidig kobler de nasjonale kostrådene helse og klima tydelig sammen gjennom et mer planterikt kostmønster, mindre kjøtt og mer belgvekster og fisk. Den danske modellen er derfor mindre bygd rundt rettighetsbasert skolemat og mer rundt innkjøpsmakt, kjøkkenomlegging og sertifisering.</w:t>
      </w:r>
      <w:r>
        <w:t xml:space="preserve"> </w:t>
      </w:r>
      <w:hyperlink r:id="rId27">
        <w:r>
          <w:rPr>
            <w:rStyle w:val="Hyperlink"/>
          </w:rPr>
          <w:t xml:space="preserve">[25]</w:t>
        </w:r>
      </w:hyperlink>
    </w:p>
    <w:p>
      <w:pPr>
        <w:pStyle w:val="BodyText"/>
      </w:pPr>
      <w:r>
        <w:t xml:space="preserve">Norge har på sin side de siste årene styrket klima- og miljøkravene i anskaffelser bredt, også med relevans for mat. Fra 1. januar 2024 ble hovedregelen at klima- og miljøhensyn skal vektes med minimum 30 prosent i offentlige anskaffelser, med adgang til å bruke kravspesifikasjon i stedet dersom det gir bedre effekt. Parallelt har Helsedirektoratet</w:t>
      </w:r>
      <w:hyperlink r:id="rId36">
        <w:r>
          <w:rPr>
            <w:rStyle w:val="Hyperlink"/>
          </w:rPr>
          <w:t xml:space="preserve">[26]</w:t>
        </w:r>
      </w:hyperlink>
      <w:r>
        <w:t xml:space="preserve"> </w:t>
      </w:r>
      <w:r>
        <w:t xml:space="preserve">utviklet en nasjonal veileder for å ivareta ernæringshensyn i offentlige anskaffelser av mat- og drikkeprodukter og måltider utenom heldøgns forpleining, og Direktoratet for forvaltning og økonomistyring</w:t>
      </w:r>
      <w:hyperlink r:id="rId34">
        <w:r>
          <w:rPr>
            <w:rStyle w:val="Hyperlink"/>
          </w:rPr>
          <w:t xml:space="preserve">[27]</w:t>
        </w:r>
      </w:hyperlink>
      <w:r>
        <w:t xml:space="preserve"> </w:t>
      </w:r>
      <w:r>
        <w:t xml:space="preserve">tilbyr egne verktøy for klimakalkyle og veiledning for matanskaffelser. Regulatorisk sett er derfor Norge mindre «tomt» enn skolematdebatten ofte antyder; problemet er snarere at ernæring, klima, logistikk og implementering ikke er samlet i ett offentlig måltidssystem.</w:t>
      </w:r>
      <w:r>
        <w:t xml:space="preserve"> </w:t>
      </w:r>
      <w:hyperlink r:id="rId37">
        <w:r>
          <w:rPr>
            <w:rStyle w:val="Hyperlink"/>
          </w:rPr>
          <w:t xml:space="preserve">[28]</w:t>
        </w:r>
      </w:hyperlink>
    </w:p>
    <w:p>
      <w:pPr>
        <w:pStyle w:val="BodyText"/>
      </w:pPr>
      <w:r>
        <w:t xml:space="preserve">Det viktigste nordiske skillet går ikke bare mellom lov og anbefaling, men mellom ulike måter å få lokale verdikjeder inn i kontraktene på. Svenske myndigheter beskriver fire relevante distribusjonsmodeller: stor grossist direkte til kjøkken, samlastingssentral, direktelevering til kjøkken fra lokale leverandører, og direktelevering via markedsplasser som håndterer små partier eller varer med kort holdbarhet. Den norske handlingsplanen for grønne anskaffelser anbefaler tilsvarende å dele opp kontrakter for å gjøre plass til lokale produkter og små og mellomstore leverandører. Den finske veilederen går samme vei ved å knytte ansvarlig innkjøp til markeddialog, lokal matkultur, sesong og andel plantebasert mat. Dette betyr at «lokal mat» i nordisk offentlig sektor først blir virkelig når logistikk- og kontraktsdesignet åpner for den.</w:t>
      </w:r>
      <w:r>
        <w:t xml:space="preserve"> </w:t>
      </w:r>
      <w:hyperlink r:id="rId21">
        <w:r>
          <w:rPr>
            <w:rStyle w:val="Hyperlink"/>
          </w:rPr>
          <w:t xml:space="preserve">[29]</w:t>
        </w:r>
      </w:hyperlink>
    </w:p>
    <w:p>
      <w:pPr>
        <w:pStyle w:val="BodyText"/>
      </w:pPr>
      <w:r>
        <w:t xml:space="preserve">For sirkularitet og resiliens er matsvinnregimet viktigere enn det ofte fremstår i matinngangsdiskusjonen. Nordiske rapporter peker på tre spesielt relevante grep for offentlig måltidssektor: innkjøp som aksepterer kortere holdbarhet og større estetisk variasjon, koordinerte innkjøpskanaler for offentlige kjøkken, og kortere verdikjeder som kan stimulere lokale produsenter. Svenske kriterier for emballasje og returkasser viser også at sirkularitet kan bygges inn i matanskaffelser langt ned på logistikk- og materialnivå.</w:t>
      </w:r>
      <w:r>
        <w:t xml:space="preserve"> </w:t>
      </w:r>
      <w:hyperlink r:id="rId33">
        <w:r>
          <w:rPr>
            <w:rStyle w:val="Hyperlink"/>
          </w:rPr>
          <w:t xml:space="preserve">[30]</w:t>
        </w:r>
      </w:hyperlink>
    </w:p>
    <w:bookmarkEnd w:id="38"/>
    <w:bookmarkStart w:id="41" w:name="aktørkart"/>
    <w:p>
      <w:pPr>
        <w:pStyle w:val="Heading2"/>
      </w:pPr>
      <w:r>
        <w:t xml:space="preserve">Aktørkart</w:t>
      </w:r>
    </w:p>
    <w:p>
      <w:pPr>
        <w:pStyle w:val="FirstParagraph"/>
      </w:pPr>
      <w:r>
        <w:t xml:space="preserve">Verdikjeden i denne delen av matsystemet kan leses i fem lag. Først kommer primærprodusenter, importører og foredlere. Deretter kommer grossist- og logistikkleddet, som i Norden er markant mer konsentrert enn den offentlige debatten om «mangfoldige leverandører» ofte gir inntrykk av. Så kommer de faktiske bestillerne: kommuner, regioner, sykehus, skoler, velferdsenheter og kantineinnkjøpere. Fjerde lag er kjøkkenene selv, enten som egenregidrift eller som innkjøpte måltidstjenester. Femte lag er styringsinfrastrukturen: innkjøpsmyndigheter, ernæringsmyndigheter, klimaverktøy, matsvinnsystemer og distribusjonsmodeller. Overgangen til et mer resilient og sirkulært matsystem stopper som regel i lag to eller fem, ikke i lag én.</w:t>
      </w:r>
      <w:r>
        <w:t xml:space="preserve"> </w:t>
      </w:r>
      <w:hyperlink r:id="rId22">
        <w:r>
          <w:rPr>
            <w:rStyle w:val="Hyperlink"/>
          </w:rPr>
          <w:t xml:space="preserve">[31]</w:t>
        </w:r>
      </w:hyperlink>
    </w:p>
    <w:p>
      <w:pPr>
        <w:pStyle w:val="BodyText"/>
      </w:pPr>
      <w:r>
        <w:t xml:space="preserve">På grossistleddet er bildet tydelig. I Sverige peker markedsstudier på entity["company","Martin &amp; Servera","swedish foodservice wholesaler"], Menigo</w:t>
      </w:r>
      <w:hyperlink r:id="rId34">
        <w:r>
          <w:rPr>
            <w:rStyle w:val="Hyperlink"/>
          </w:rPr>
          <w:t xml:space="preserve">[32]</w:t>
        </w:r>
      </w:hyperlink>
      <w:r>
        <w:t xml:space="preserve"> </w:t>
      </w:r>
      <w:r>
        <w:t xml:space="preserve">og logistikkposisjoner knyttet til Dagab</w:t>
      </w:r>
      <w:hyperlink r:id="rId24">
        <w:r>
          <w:rPr>
            <w:rStyle w:val="Hyperlink"/>
          </w:rPr>
          <w:t xml:space="preserve">[33]</w:t>
        </w:r>
      </w:hyperlink>
      <w:r>
        <w:t xml:space="preserve"> </w:t>
      </w:r>
      <w:r>
        <w:t xml:space="preserve">som sentrale aktører i foodservicekanalen. I Finland beskriver bransje- og investorkilder et marked der Kespro</w:t>
      </w:r>
      <w:hyperlink r:id="rId28">
        <w:r>
          <w:rPr>
            <w:rStyle w:val="Hyperlink"/>
          </w:rPr>
          <w:t xml:space="preserve">[13]</w:t>
        </w:r>
      </w:hyperlink>
      <w:r>
        <w:t xml:space="preserve"> </w:t>
      </w:r>
      <w:r>
        <w:t xml:space="preserve">er tydelig markedsleder, med Meira Nova</w:t>
      </w:r>
      <w:hyperlink r:id="rId24">
        <w:r>
          <w:rPr>
            <w:rStyle w:val="Hyperlink"/>
          </w:rPr>
          <w:t xml:space="preserve">[34]</w:t>
        </w:r>
      </w:hyperlink>
      <w:r>
        <w:t xml:space="preserve">, Metro-tukku</w:t>
      </w:r>
      <w:hyperlink r:id="rId39">
        <w:r>
          <w:rPr>
            <w:rStyle w:val="Hyperlink"/>
          </w:rPr>
          <w:t xml:space="preserve">[35]</w:t>
        </w:r>
      </w:hyperlink>
      <w:r>
        <w:t xml:space="preserve"> </w:t>
      </w:r>
      <w:r>
        <w:t xml:space="preserve">og Valio Aimo</w:t>
      </w:r>
      <w:hyperlink r:id="rId23">
        <w:r>
          <w:rPr>
            <w:rStyle w:val="Hyperlink"/>
          </w:rPr>
          <w:t xml:space="preserve">[36]</w:t>
        </w:r>
      </w:hyperlink>
      <w:r>
        <w:t xml:space="preserve"> </w:t>
      </w:r>
      <w:r>
        <w:t xml:space="preserve">som sentrale konkurrenter. I Norge er ASKO</w:t>
      </w:r>
      <w:hyperlink r:id="rId27">
        <w:r>
          <w:rPr>
            <w:rStyle w:val="Hyperlink"/>
          </w:rPr>
          <w:t xml:space="preserve">[37]</w:t>
        </w:r>
      </w:hyperlink>
      <w:r>
        <w:t xml:space="preserve"> </w:t>
      </w:r>
      <w:r>
        <w:t xml:space="preserve">størst, mens Servicegrossistene</w:t>
      </w:r>
      <w:hyperlink r:id="rId24">
        <w:r>
          <w:rPr>
            <w:rStyle w:val="Hyperlink"/>
          </w:rPr>
          <w:t xml:space="preserve">[38]</w:t>
        </w:r>
      </w:hyperlink>
      <w:r>
        <w:t xml:space="preserve"> </w:t>
      </w:r>
      <w:r>
        <w:t xml:space="preserve">omtales som nest størst i foodservice, og Norengros</w:t>
      </w:r>
      <w:hyperlink r:id="rId25">
        <w:r>
          <w:rPr>
            <w:rStyle w:val="Hyperlink"/>
          </w:rPr>
          <w:t xml:space="preserve">[39]</w:t>
        </w:r>
      </w:hyperlink>
      <w:r>
        <w:t xml:space="preserve"> </w:t>
      </w:r>
      <w:r>
        <w:t xml:space="preserve">er en nasjonal leverandør av forbruksvarer til både privat og offentlig sektor. I Danmark peker både offentlige og bransjenære kilder på Dagrofa</w:t>
      </w:r>
      <w:hyperlink r:id="rId33">
        <w:r>
          <w:rPr>
            <w:rStyle w:val="Hyperlink"/>
          </w:rPr>
          <w:t xml:space="preserve">[40]</w:t>
        </w:r>
      </w:hyperlink>
      <w:r>
        <w:t xml:space="preserve">, Hørkram Foodservice</w:t>
      </w:r>
      <w:hyperlink r:id="rId40">
        <w:r>
          <w:rPr>
            <w:rStyle w:val="Hyperlink"/>
          </w:rPr>
          <w:t xml:space="preserve">[41]</w:t>
        </w:r>
      </w:hyperlink>
      <w:r>
        <w:t xml:space="preserve">, Dansk Cater</w:t>
      </w:r>
      <w:hyperlink r:id="rId23">
        <w:r>
          <w:rPr>
            <w:rStyle w:val="Hyperlink"/>
          </w:rPr>
          <w:t xml:space="preserve">[42]</w:t>
        </w:r>
      </w:hyperlink>
      <w:r>
        <w:t xml:space="preserve"> </w:t>
      </w:r>
      <w:r>
        <w:t xml:space="preserve">og BC Catering</w:t>
      </w:r>
      <w:hyperlink r:id="rId33">
        <w:r>
          <w:rPr>
            <w:rStyle w:val="Hyperlink"/>
          </w:rPr>
          <w:t xml:space="preserve">[43]</w:t>
        </w:r>
      </w:hyperlink>
      <w:r>
        <w:t xml:space="preserve"> </w:t>
      </w:r>
      <w:r>
        <w:t xml:space="preserve">som ryggraden i foodservice-engros og leveranser til profesjonelle kjøkken.</w:t>
      </w:r>
      <w:r>
        <w:t xml:space="preserve"> </w:t>
      </w:r>
      <w:hyperlink r:id="rId23">
        <w:r>
          <w:rPr>
            <w:rStyle w:val="Hyperlink"/>
          </w:rPr>
          <w:t xml:space="preserve">[44]</w:t>
        </w:r>
      </w:hyperlink>
    </w:p>
    <w:p>
      <w:pPr>
        <w:pStyle w:val="BodyText"/>
      </w:pPr>
      <w:r>
        <w:t xml:space="preserve">På kjøpersiden er kommuner og regioner nøkkelaktørene i Sverige og Finland, mens kommuner og sykehus blir særlig viktige i Norge, og kommuner og statlige/kommunale kjøkkenordninger dominerer i Danmark. I København ligger hovedtyngden av matinnkjøp og produksjon hos barne- og ungdomsforvaltning, helse- og omsorgsforvaltning og sosialforvaltning. I Sverige understrekes både skalaen og mangfoldet ved at offentlige måltider kan være egenregi, produksjonskjøkken, mottakskjøkken eller helt eller delvis innkjøpt måltidstjeneste. I Finland er det kommuner og andre utdanningstilbydere som både finansierer og organiserer skolemåltidet i praksis.</w:t>
      </w:r>
      <w:r>
        <w:t xml:space="preserve"> </w:t>
      </w:r>
      <w:hyperlink r:id="rId24">
        <w:r>
          <w:rPr>
            <w:rStyle w:val="Hyperlink"/>
          </w:rPr>
          <w:t xml:space="preserve">[45]</w:t>
        </w:r>
      </w:hyperlink>
    </w:p>
    <w:p>
      <w:pPr>
        <w:pStyle w:val="BodyText"/>
      </w:pPr>
      <w:r>
        <w:t xml:space="preserve">Det som mangler i mange nordiske diskusjoner er et bedre kart over «muliggjørerne». I denne gruppen ligger innkjøpsmyndigheter, ernæringsmyndigheter, bransjeorganisasjoner, distribusjonscentraler, digitale bestillingssystemer, klimakalkulatorer og svinnverktøy. De svenske kriteriene for returlådor og emballasje, det norske klimakalkulatorverktøyet for matanskaffelser, og de finske anbefalingene om verifikasjon og markeddialog er ikke sideinstrumenter; de er selve infrastrukturen som gjør overgang mulig uten at kjøkkenene må finne opp systemendringen alene.</w:t>
      </w:r>
      <w:r>
        <w:t xml:space="preserve"> </w:t>
      </w:r>
      <w:hyperlink r:id="rId40">
        <w:r>
          <w:rPr>
            <w:rStyle w:val="Hyperlink"/>
          </w:rPr>
          <w:t xml:space="preserve">[46]</w:t>
        </w:r>
      </w:hyperlink>
    </w:p>
    <w:bookmarkEnd w:id="41"/>
    <w:bookmarkStart w:id="44" w:name="nordiske-forskjeller-og-case"/>
    <w:p>
      <w:pPr>
        <w:pStyle w:val="Heading2"/>
      </w:pPr>
      <w:r>
        <w:t xml:space="preserve">Nordiske forskjeller og case</w:t>
      </w:r>
    </w:p>
    <w:p>
      <w:pPr>
        <w:pStyle w:val="FirstParagraph"/>
      </w:pPr>
      <w:r>
        <w:t xml:space="preserve">Caset som tydeligst viser offentlig måltidsmakt i praksis er Københavns Kommune</w:t>
      </w:r>
      <w:hyperlink r:id="rId24">
        <w:r>
          <w:rPr>
            <w:rStyle w:val="Hyperlink"/>
          </w:rPr>
          <w:t xml:space="preserve">[47]</w:t>
        </w:r>
      </w:hyperlink>
      <w:r>
        <w:t xml:space="preserve">. Kommunens matstrategi viser en kombinasjon av volum, politisk ambisjon og operativ gjennomføring som få andre nordiske byer matcher: omtrent 70 000 kommunale måltider daglig, rundt 1 000 kjøkken- og serveringssteder, mer enn 10 000 tonn offentlige matinnkjøp og en økologiandel på 87 prosent da strategien ble vedtatt, med mål om minst 90 prosent og gullmerke i kjøkkenene. Strategien kobler dette til klimagrep, redusert matsvinn, høyere andel plantebasert mat, oppgradering av kjøkken og kompetanseløft hos ansatte. Den viser også at kommunen stiller krav om 90 prosent økologisk mat, menykomposisjon og miljøhensyn i de subsidierte kantineløsningene som er outsourcet til profesjonelle leverandører.</w:t>
      </w:r>
      <w:r>
        <w:t xml:space="preserve"> </w:t>
      </w:r>
      <w:hyperlink r:id="rId24">
        <w:r>
          <w:rPr>
            <w:rStyle w:val="Hyperlink"/>
          </w:rPr>
          <w:t xml:space="preserve">[48]</w:t>
        </w:r>
      </w:hyperlink>
    </w:p>
    <w:p>
      <w:pPr>
        <w:pStyle w:val="BodyText"/>
      </w:pPr>
      <w:r>
        <w:t xml:space="preserve">Sverige illustrerer en annen modell: universell offentlig måltidsdekning i skolen kombinert med mer modulære innkjøpsverktøy. Skolelunsjen er gratis og næringsrik etter loven, og måltidssystemet inngår i et bredere offentlig måltidsunivers for skole, omsorg og helse. Samtidig viser svenske innkjøpsmyndigheter at kommunen eller regionen kan velge om den vil kjøpe råvarer, måltidstjenester, grossistlogistikk, samlastingsløsninger eller direkteleveranser fra mindre leverandører. Det svenske caset viser derfor ikke bare «gratis skolemat», men et relativt modent designrom for å kombinere storskala og leverandørmangfold.</w:t>
      </w:r>
      <w:r>
        <w:t xml:space="preserve"> </w:t>
      </w:r>
      <w:hyperlink r:id="rId39">
        <w:r>
          <w:rPr>
            <w:rStyle w:val="Hyperlink"/>
          </w:rPr>
          <w:t xml:space="preserve">[49]</w:t>
        </w:r>
      </w:hyperlink>
    </w:p>
    <w:p>
      <w:pPr>
        <w:pStyle w:val="BodyText"/>
      </w:pPr>
      <w:r>
        <w:t xml:space="preserve">Finland skiller seg ut ved å gjøre skolemåltidet til en eksplisitt pedagogisk og sosial institusjon, ikke bare et ernæringstiltak. Skolemåltidet er integrert i læreplanen og elevene skal kunne delta i planlegging og gjennomføring. Samtidig går den finske anskaffelseslogikken lenger enn mange andre ved å koble ansvarlige innkjøp til matsikkerhet, forsyningsberedskap, dyrehelse, ernæring, sesong, lokal matkultur og andel plantebasert mat. Dette gjør Finland til det nordiske landet der skolemat, offentlig ernæringspolitikk og forsyningsresiliens er tydeligst skrevet inn i samme styringsfortelling.</w:t>
      </w:r>
      <w:r>
        <w:t xml:space="preserve"> </w:t>
      </w:r>
      <w:hyperlink r:id="rId28">
        <w:r>
          <w:rPr>
            <w:rStyle w:val="Hyperlink"/>
          </w:rPr>
          <w:t xml:space="preserve">[50]</w:t>
        </w:r>
      </w:hyperlink>
    </w:p>
    <w:p>
      <w:pPr>
        <w:pStyle w:val="BodyText"/>
      </w:pPr>
      <w:r>
        <w:t xml:space="preserve">Norge er det tydeligste caset på barrierer. Barrieren er ikke først og fremst mangel på veiledning, for den finnes både på ernæring og anskaffelse. Barrieren er at systemet fortsatt er organisert rundt matpakke i skolen og sektorvis oppfølging i institusjonsmat. Helsedirektoratets skolemåltidsrapport peker på praktiske flaskehalser som utilstrekkelig spisetid, store forskjeller mellom kommuner og skoler, behov for flere stillingsressurser ved innføring av måltidsordninger, behov for kompetanse og verktøy for å måle kostnader, matsvinn, bruk av lokale matressurser og tidsbruk. Samtidig viser sykehuskartleggingene hvor høye innsatsene er: når en betydelig andel pasienter er underernærte eller i risiko, er mat en del av behandlingskjeden, ikke et servicetillegg. Norge har derfor et stort potensial, men trenger overgangsdesign mer enn flere enkeltforsøk.</w:t>
      </w:r>
      <w:r>
        <w:t xml:space="preserve"> </w:t>
      </w:r>
      <w:hyperlink r:id="rId42">
        <w:r>
          <w:rPr>
            <w:rStyle w:val="Hyperlink"/>
          </w:rPr>
          <w:t xml:space="preserve">[51]</w:t>
        </w:r>
      </w:hyperlink>
    </w:p>
    <w:p>
      <w:pPr>
        <w:pStyle w:val="BodyText"/>
      </w:pPr>
      <w:r>
        <w:t xml:space="preserve">Danmark og Norge viser også det kanskje viktigste nordiske skillet i skolemat. Danmark har historisk manglet et universelt gratis skolemåltid, men har nå et nasjonalt forsøk som skal teste organisering, læring og trivselseffekter. Norge har fortsatt ikke et nasjonalt program og har store variasjoner mellom skoletyper og kommuner. Sammenlignet med Sverige og Finland betyr dette at de to sistnevnte landene allerede har skolen som distribusjonsplattform for matsystemomstilling, mens Danmark og Norge fortsatt er i en fase hvor selve plattformen bygges eller prøves ut.</w:t>
      </w:r>
      <w:r>
        <w:t xml:space="preserve"> </w:t>
      </w:r>
      <w:hyperlink r:id="rId43">
        <w:r>
          <w:rPr>
            <w:rStyle w:val="Hyperlink"/>
          </w:rPr>
          <w:t xml:space="preserve">[52]</w:t>
        </w:r>
      </w:hyperlink>
    </w:p>
    <w:bookmarkEnd w:id="44"/>
    <w:bookmarkStart w:id="45" w:name="X3c22e9222b9dd0e8aa0715a57f8a6382dc3d0df"/>
    <w:p>
      <w:pPr>
        <w:pStyle w:val="Heading2"/>
      </w:pPr>
      <w:r>
        <w:t xml:space="preserve">Leverage points for Food Systems Transition Group</w:t>
      </w:r>
    </w:p>
    <w:p>
      <w:pPr>
        <w:pStyle w:val="FirstParagraph"/>
      </w:pPr>
      <w:r>
        <w:t xml:space="preserve">Det mest lovende leverage pointet er å flytte fokus fra «bærekraftig vare» til «bærekraftig kontrakt». I både Finland, Sverige og Norge finnes det hjemler og verktøy for å stille krav til ernæring, klima, emballasje, dyrevelferd og menykomposisjon, men effekten kommer først når disse kobles til oppfølgbare kontraktsvilkår, markeddialog og reelle menyer. For Food Systems Transition Group betyr det at arbeid med standardkrav alene vil være for svakt; standardiserte kontraktsmaler med tydelig oppfølging er langt mer virkningsfulle.</w:t>
      </w:r>
      <w:r>
        <w:t xml:space="preserve"> </w:t>
      </w:r>
      <w:hyperlink r:id="rId34">
        <w:r>
          <w:rPr>
            <w:rStyle w:val="Hyperlink"/>
          </w:rPr>
          <w:t xml:space="preserve">[53]</w:t>
        </w:r>
      </w:hyperlink>
    </w:p>
    <w:p>
      <w:pPr>
        <w:pStyle w:val="BodyText"/>
      </w:pPr>
      <w:r>
        <w:t xml:space="preserve">Det nest viktigste leverage pointet er grossistleddet. De store nordiske foodservicegrossistene er ikke bare distributører; de er sortimentsforvaltere, digitale bestillingsflater, lagerstrukturer og ofte portvoktere til offentlige kjøkken. Hvis lokale, regenerative eller sirkulære råvarer ikke får plass i grossistsortiment, samlastingsstruktur eller bestillingsgrensesnitt, når de sjelden ut i storskala offentlige måltider. FSTG bør derfor behandle grossistdialog som et hovedspor, ikke som en sekundær implementeringsdetalj.</w:t>
      </w:r>
      <w:r>
        <w:t xml:space="preserve"> </w:t>
      </w:r>
      <w:hyperlink r:id="rId23">
        <w:r>
          <w:rPr>
            <w:rStyle w:val="Hyperlink"/>
          </w:rPr>
          <w:t xml:space="preserve">[54]</w:t>
        </w:r>
      </w:hyperlink>
    </w:p>
    <w:p>
      <w:pPr>
        <w:pStyle w:val="BodyText"/>
      </w:pPr>
      <w:r>
        <w:t xml:space="preserve">Det tredje leverage pointet er kjøkkenkapasitet. København viser at høye økologi- og klimamål ble mulig gjennom kjøkkenoppgradering, kompetansebygging og menyomlegging, ikke primært gjennom større varebudsjetter. Den norske skolemåltidsrapporten peker motsatt på at mangel på tid, personell og veiledning lett stopper tiltak selv når de er faglig ønsket. Overgangen til mer sirkulære og resiliente matsystemer må derfor behandle storkjøkken som produksjons- og innovasjonsenheter, ikke bare mottakere av ferdige varer.</w:t>
      </w:r>
      <w:r>
        <w:t xml:space="preserve"> </w:t>
      </w:r>
      <w:hyperlink r:id="rId24">
        <w:r>
          <w:rPr>
            <w:rStyle w:val="Hyperlink"/>
          </w:rPr>
          <w:t xml:space="preserve">[55]</w:t>
        </w:r>
      </w:hyperlink>
    </w:p>
    <w:p>
      <w:pPr>
        <w:pStyle w:val="BodyText"/>
      </w:pPr>
      <w:r>
        <w:t xml:space="preserve">Det fjerde leverage pointet er logistikk- og distribusjonsdesign for små og mellomstore leverandører. Svenske myndigheter er tydelige på at kontraktsdeling, samlastingssentraler og direktelevering kan forbedre konkurransen, styrke lokalt næringsliv og øke selvforsyningsgrad og kriseberedskap. Den norske grønne anskaffelsesplanen peker i samme retning når den anbefaler å dele opp kontrakter for å kjøpe lokalt og inkludere små og mellomstore bedrifter. Her ligger et konkret omstillingsrom som ofte er mer effektivt enn generelle «kortreist»-mål uten endret logistikk.</w:t>
      </w:r>
      <w:r>
        <w:t xml:space="preserve"> </w:t>
      </w:r>
      <w:hyperlink r:id="rId21">
        <w:r>
          <w:rPr>
            <w:rStyle w:val="Hyperlink"/>
          </w:rPr>
          <w:t xml:space="preserve">[56]</w:t>
        </w:r>
      </w:hyperlink>
    </w:p>
    <w:p>
      <w:pPr>
        <w:pStyle w:val="BodyText"/>
      </w:pPr>
      <w:r>
        <w:t xml:space="preserve">Det femte leverage pointet er å knytte offentlige måltider til matsvinn, sekundærstrømmer og sirkulære materialvalg. Nordiske analyser løfter frem innkjøp som aksepterer kortere holdbarhet og kosmetiske avvik, koordinerte innkjøpskanaler for offentlige kjøkken og grep for å redusere svinn gjennom bedre data og vareflyt. Når dette kombineres med kriterier for returkasser, emballasje og digitale prognosesystemer, kan offentlige måltider bli en stabil etterspørselsside for sirkulære matstrømmer som i dag faller ut av markedet.</w:t>
      </w:r>
      <w:r>
        <w:t xml:space="preserve"> </w:t>
      </w:r>
      <w:hyperlink r:id="rId33">
        <w:r>
          <w:rPr>
            <w:rStyle w:val="Hyperlink"/>
          </w:rPr>
          <w:t xml:space="preserve">[57]</w:t>
        </w:r>
      </w:hyperlink>
    </w:p>
    <w:p>
      <w:pPr>
        <w:pStyle w:val="BodyText"/>
      </w:pPr>
      <w:r>
        <w:t xml:space="preserve">Det sjette leverage pointet er å gjøre beredskap til en eksplisitt del av matinnkjøp. Finland kobler ansvarlig matanskaffelse direkte til food security og security of supply. Sverige løfter logistikk og lokal/regional deltakelse som del av krisberedskap. Danmark framhever lokale matsystemer rundt byen, og Norge har styrket klimahensyn i anskaffelser og beveger seg også mot tydeligere beredskapshensyn i regelverket. En mer resilient nordisk måltidssektor vil derfor kreve at innkjøp vurderes ikke bare på pris og klima, men også på redundans, lokal leverandørbredde og evne til å fungere under forstyrrelser.</w:t>
      </w:r>
      <w:r>
        <w:t xml:space="preserve"> </w:t>
      </w:r>
      <w:hyperlink r:id="rId34">
        <w:r>
          <w:rPr>
            <w:rStyle w:val="Hyperlink"/>
          </w:rPr>
          <w:t xml:space="preserve">[58]</w:t>
        </w:r>
      </w:hyperlink>
    </w:p>
    <w:bookmarkEnd w:id="45"/>
    <w:bookmarkStart w:id="50" w:name="pilotmuligheter-policygrep-og-neste-fase"/>
    <w:p>
      <w:pPr>
        <w:pStyle w:val="Heading2"/>
      </w:pPr>
      <w:r>
        <w:t xml:space="preserve">Pilotmuligheter, policygrep og neste fase</w:t>
      </w:r>
    </w:p>
    <w:bookmarkStart w:id="46" w:name="konkrete-pilotmuligheter"/>
    <w:p>
      <w:pPr>
        <w:pStyle w:val="Heading3"/>
      </w:pPr>
      <w:r>
        <w:t xml:space="preserve">Konkrete pilotmuligheter</w:t>
      </w:r>
    </w:p>
    <w:p>
      <w:pPr>
        <w:numPr>
          <w:ilvl w:val="0"/>
          <w:numId w:val="1001"/>
        </w:numPr>
      </w:pPr>
      <w:r>
        <w:rPr>
          <w:b/>
          <w:bCs/>
        </w:rPr>
        <w:t xml:space="preserve">Regional samlastingspilot for offentlige kjøkken og småskalaprodusenter.</w:t>
      </w:r>
      <w:r>
        <w:t xml:space="preserve"> </w:t>
      </w:r>
      <w:r>
        <w:t xml:space="preserve">Test én modell i Sverige eller Finland og én i Norge eller Danmark der lokale produsenter får tilgang til offentlige kjøkken via samlastingssentral eller grossistintegrasjon, med måling av pris, leveringsevne, fyllingsgrad, lokal andel og beredskapseffekt. Dette bygger direkte på svenske erfaringer med samordnad varudistribution og norske anbefalinger om å dele kontrakter for lokale leverandører.</w:t>
      </w:r>
      <w:r>
        <w:t xml:space="preserve"> </w:t>
      </w:r>
      <w:hyperlink r:id="rId21">
        <w:r>
          <w:rPr>
            <w:rStyle w:val="Hyperlink"/>
          </w:rPr>
          <w:t xml:space="preserve">[56]</w:t>
        </w:r>
      </w:hyperlink>
    </w:p>
    <w:p>
      <w:pPr>
        <w:numPr>
          <w:ilvl w:val="0"/>
          <w:numId w:val="1001"/>
        </w:numPr>
      </w:pPr>
      <w:r>
        <w:rPr>
          <w:b/>
          <w:bCs/>
        </w:rPr>
        <w:t xml:space="preserve">Pilot for “andresortering” og kort holdbarhet i offentlige menyer.</w:t>
      </w:r>
      <w:r>
        <w:t xml:space="preserve"> </w:t>
      </w:r>
      <w:r>
        <w:t xml:space="preserve">Etablér en innkjøpskanal for offentlige kjøkken som aksepterer varer med kosmetiske avvik eller kortere holdbarhet, kombinert med menyfleksibilitet i skole- eller kantinekjøkken. Dette svarer på de nordiske anbefalingene om å bruke offentlig innkjøp til å ta inn mer av råstoffstrømmer som i dag går til svinn.</w:t>
      </w:r>
      <w:r>
        <w:t xml:space="preserve"> </w:t>
      </w:r>
      <w:hyperlink r:id="rId33">
        <w:r>
          <w:rPr>
            <w:rStyle w:val="Hyperlink"/>
          </w:rPr>
          <w:t xml:space="preserve">[59]</w:t>
        </w:r>
      </w:hyperlink>
    </w:p>
    <w:p>
      <w:pPr>
        <w:numPr>
          <w:ilvl w:val="0"/>
          <w:numId w:val="1001"/>
        </w:numPr>
      </w:pPr>
      <w:r>
        <w:rPr>
          <w:b/>
          <w:bCs/>
        </w:rPr>
        <w:t xml:space="preserve">Sykehus- og omsorgspilot med ernæring, svinn og lokal sourcing i samme styringssett.</w:t>
      </w:r>
      <w:r>
        <w:t xml:space="preserve"> </w:t>
      </w:r>
      <w:r>
        <w:t xml:space="preserve">Velg ett sykehus eller én sykehjemsklynge i Norge eller Sverige og kombiner ernæringsindikatorer, protein- og energitetthet, svinnmåling og kontraktskrav for lokale/regionale leverandører. Caset er særlig relevant i Norge, der underernæring i institusjon er dokumentert, men innkjøps- og ernæringsspor ofte behandles hver for seg.</w:t>
      </w:r>
      <w:r>
        <w:t xml:space="preserve"> </w:t>
      </w:r>
      <w:hyperlink r:id="rId36">
        <w:r>
          <w:rPr>
            <w:rStyle w:val="Hyperlink"/>
          </w:rPr>
          <w:t xml:space="preserve">[60]</w:t>
        </w:r>
      </w:hyperlink>
    </w:p>
    <w:p>
      <w:pPr>
        <w:numPr>
          <w:ilvl w:val="0"/>
          <w:numId w:val="1001"/>
        </w:numPr>
      </w:pPr>
      <w:r>
        <w:rPr>
          <w:b/>
          <w:bCs/>
        </w:rPr>
        <w:t xml:space="preserve">Skolemåltidslaboratorium for Danmark og Norge med svensk/finsk sammenligningsdesign.</w:t>
      </w:r>
      <w:r>
        <w:t xml:space="preserve"> </w:t>
      </w:r>
      <w:r>
        <w:t xml:space="preserve">Etablér et felles læringsopplegg som tester meny-, logistikk- og organisasjonsmodeller i utvalgte danske og norske skoler, med Finland og Sverige som referansepunkter for rettighetsmodell, medvirkning, spisetid, aksept, læring og innkjøp. Dette vil gi bedre overførbar kunnskap enn nye enkeltforsøk uten nordisk sammenligning.</w:t>
      </w:r>
      <w:r>
        <w:t xml:space="preserve"> </w:t>
      </w:r>
      <w:hyperlink r:id="rId43">
        <w:r>
          <w:rPr>
            <w:rStyle w:val="Hyperlink"/>
          </w:rPr>
          <w:t xml:space="preserve">[61]</w:t>
        </w:r>
      </w:hyperlink>
    </w:p>
    <w:p>
      <w:pPr>
        <w:numPr>
          <w:ilvl w:val="0"/>
          <w:numId w:val="1001"/>
        </w:numPr>
      </w:pPr>
      <w:r>
        <w:rPr>
          <w:b/>
          <w:bCs/>
        </w:rPr>
        <w:t xml:space="preserve">Grossistpartnerskap for overgangsprodukter.</w:t>
      </w:r>
      <w:r>
        <w:t xml:space="preserve"> </w:t>
      </w:r>
      <w:r>
        <w:t xml:space="preserve">Inviter én stor grossist i hvert land til å teste en definert overgangsportefølje for offentlige kunder: belgvekstbaser, sesongvarer, lokalt foredlede produkter, returkasse-løsninger og datasporet svinnredusering. Målet er å gjøre grossisten til skaleringsmotor, ikke bare leverandør. Dette er særlig relevant i markeder med høy grossistkonsentrasjon som Finland og Norge.</w:t>
      </w:r>
      <w:r>
        <w:t xml:space="preserve"> </w:t>
      </w:r>
      <w:hyperlink r:id="rId23">
        <w:r>
          <w:rPr>
            <w:rStyle w:val="Hyperlink"/>
          </w:rPr>
          <w:t xml:space="preserve">[62]</w:t>
        </w:r>
      </w:hyperlink>
    </w:p>
    <w:bookmarkEnd w:id="46"/>
    <w:bookmarkStart w:id="48" w:name="policygrep"/>
    <w:p>
      <w:pPr>
        <w:pStyle w:val="Heading3"/>
      </w:pPr>
      <w:r>
        <w:t xml:space="preserve">Policygrep</w:t>
      </w:r>
    </w:p>
    <w:p>
      <w:pPr>
        <w:numPr>
          <w:ilvl w:val="0"/>
          <w:numId w:val="1002"/>
        </w:numPr>
      </w:pPr>
      <w:r>
        <w:rPr>
          <w:b/>
          <w:bCs/>
        </w:rPr>
        <w:t xml:space="preserve">Gjør menyplan og oppfølgingsregime til obligatorisk del av større matanbud.</w:t>
      </w:r>
      <w:r>
        <w:t xml:space="preserve"> </w:t>
      </w:r>
      <w:r>
        <w:t xml:space="preserve">Det bør ikke være nok å levere en råvareliste; store avtaler bør kreve dokumentert menylogikk, plan for ernæring, klimabelastning, svinn og kontraktsoppfølging. Finland viser allerede hvordan dette kan gjøres i praksis.</w:t>
      </w:r>
      <w:r>
        <w:t xml:space="preserve"> </w:t>
      </w:r>
      <w:hyperlink r:id="rId34">
        <w:r>
          <w:rPr>
            <w:rStyle w:val="Hyperlink"/>
          </w:rPr>
          <w:t xml:space="preserve">[21]</w:t>
        </w:r>
      </w:hyperlink>
    </w:p>
    <w:p>
      <w:pPr>
        <w:numPr>
          <w:ilvl w:val="0"/>
          <w:numId w:val="1002"/>
        </w:numPr>
      </w:pPr>
      <w:r>
        <w:rPr>
          <w:b/>
          <w:bCs/>
        </w:rPr>
        <w:t xml:space="preserve">Bruk kontraktsdeling som standard når målet er lokal verdiskaping eller forsyningsrobusthet.</w:t>
      </w:r>
      <w:r>
        <w:t xml:space="preserve"> </w:t>
      </w:r>
      <w:r>
        <w:t xml:space="preserve">Små leverandører kommer sjelden inn i fullsortimentsanbud uten logistisk tilrettelegging. Sverige og Norge gir begge klare føringer om at kontraktsdeling og distribusjonsløsninger er nødvendige for å få med SMB-er.</w:t>
      </w:r>
      <w:r>
        <w:t xml:space="preserve"> </w:t>
      </w:r>
      <w:hyperlink r:id="rId21">
        <w:r>
          <w:rPr>
            <w:rStyle w:val="Hyperlink"/>
          </w:rPr>
          <w:t xml:space="preserve">[56]</w:t>
        </w:r>
      </w:hyperlink>
    </w:p>
    <w:p>
      <w:pPr>
        <w:numPr>
          <w:ilvl w:val="0"/>
          <w:numId w:val="1002"/>
        </w:numPr>
      </w:pPr>
      <w:r>
        <w:rPr>
          <w:b/>
          <w:bCs/>
        </w:rPr>
        <w:t xml:space="preserve">Harmoniser nordiske nøkkelindikatorer for offentlige måltider.</w:t>
      </w:r>
      <w:r>
        <w:t xml:space="preserve"> </w:t>
      </w:r>
      <w:r>
        <w:t xml:space="preserve">Et felles minimumssett bør minst dekke gram matsvinn per måltid, klimaavtrykk per måltid, ernæringskvalitet, andel plantebasert protein, andel lokal/regional sourcing, leverandørmangfold og brukeropplevelse. I dag er datagrunnlaget for ujevnt til å drive strategisk sammenligning.</w:t>
      </w:r>
      <w:r>
        <w:t xml:space="preserve"> </w:t>
      </w:r>
      <w:hyperlink r:id="rId47">
        <w:r>
          <w:rPr>
            <w:rStyle w:val="Hyperlink"/>
          </w:rPr>
          <w:t xml:space="preserve">[63]</w:t>
        </w:r>
      </w:hyperlink>
    </w:p>
    <w:p>
      <w:pPr>
        <w:numPr>
          <w:ilvl w:val="0"/>
          <w:numId w:val="1002"/>
        </w:numPr>
      </w:pPr>
      <w:r>
        <w:rPr>
          <w:b/>
          <w:bCs/>
        </w:rPr>
        <w:t xml:space="preserve">Flytt økologi fra symbolmål til funksjonell anskaffelseslogikk.</w:t>
      </w:r>
      <w:r>
        <w:t xml:space="preserve"> </w:t>
      </w:r>
      <w:r>
        <w:t xml:space="preserve">Danmark viser styrken i terskel- og merkesystemer, mens Sverige har forlatt et nasjonalt prosentmål og Finland har delvis sprikende målegrunnlag. Et bedre nordisk neste steg er å bruke økologi strategisk der den styrker biodiversitet, input-uavhengighet og lokal verdiskaping, heller enn å bruke én prosentlogikk overalt.</w:t>
      </w:r>
      <w:r>
        <w:t xml:space="preserve"> </w:t>
      </w:r>
      <w:hyperlink r:id="rId27">
        <w:r>
          <w:rPr>
            <w:rStyle w:val="Hyperlink"/>
          </w:rPr>
          <w:t xml:space="preserve">[64]</w:t>
        </w:r>
      </w:hyperlink>
    </w:p>
    <w:p>
      <w:pPr>
        <w:numPr>
          <w:ilvl w:val="0"/>
          <w:numId w:val="1002"/>
        </w:numPr>
      </w:pPr>
      <w:r>
        <w:rPr>
          <w:b/>
          <w:bCs/>
        </w:rPr>
        <w:t xml:space="preserve">Skriv beredskap inn i matanskaffelser eksplisitt.</w:t>
      </w:r>
      <w:r>
        <w:t xml:space="preserve"> </w:t>
      </w:r>
      <w:r>
        <w:t xml:space="preserve">Offentlige kjøkken bør vurderes som del av samfunnets grunnberedskap. Det tilsier krav eller tildelingskriterier knyttet til lagerhold, alternative leverandører, geografisk spredning, samordning med lokale produsenter og evne til å levere under forstyrrelser. Finland er lengst framme i å formulere dette eksplisitt.</w:t>
      </w:r>
      <w:r>
        <w:t xml:space="preserve"> </w:t>
      </w:r>
      <w:hyperlink r:id="rId34">
        <w:r>
          <w:rPr>
            <w:rStyle w:val="Hyperlink"/>
          </w:rPr>
          <w:t xml:space="preserve">[65]</w:t>
        </w:r>
      </w:hyperlink>
    </w:p>
    <w:bookmarkEnd w:id="48"/>
    <w:bookmarkStart w:id="49" w:name="aktører-til-neste-fase"/>
    <w:p>
      <w:pPr>
        <w:pStyle w:val="Heading3"/>
      </w:pPr>
      <w:r>
        <w:t xml:space="preserve">Aktører til neste fase</w:t>
      </w:r>
    </w:p>
    <w:p>
      <w:pPr>
        <w:pStyle w:val="FirstParagraph"/>
      </w:pPr>
      <w:r>
        <w:t xml:space="preserve">Første krets bør være</w:t>
      </w:r>
      <w:r>
        <w:t xml:space="preserve"> </w:t>
      </w:r>
      <w:r>
        <w:rPr>
          <w:b/>
          <w:bCs/>
        </w:rPr>
        <w:t xml:space="preserve">offentlige bestillere og fagmyndigheter</w:t>
      </w:r>
      <w:r>
        <w:t xml:space="preserve">: kommunale måltidsledere fra København, svenske kommune- og regionskjøkken, finske kommuner med sterke skole- og kantinemiljøer, norske pilotkommuner, samt Upphandlingsmyndigheten, Livsmedelsverket, Motiva, Helsedirektoratet og DFØ. Dette er aktørene som sitter på kontrakt, kriterier, ernæringsnormer og implementeringskapasitet.</w:t>
      </w:r>
      <w:r>
        <w:t xml:space="preserve"> </w:t>
      </w:r>
      <w:hyperlink r:id="rId24">
        <w:r>
          <w:rPr>
            <w:rStyle w:val="Hyperlink"/>
          </w:rPr>
          <w:t xml:space="preserve">[66]</w:t>
        </w:r>
      </w:hyperlink>
    </w:p>
    <w:p>
      <w:pPr>
        <w:pStyle w:val="BodyText"/>
      </w:pPr>
      <w:r>
        <w:t xml:space="preserve">Andre krets bør være</w:t>
      </w:r>
      <w:r>
        <w:t xml:space="preserve"> </w:t>
      </w:r>
      <w:r>
        <w:rPr>
          <w:b/>
          <w:bCs/>
        </w:rPr>
        <w:t xml:space="preserve">grossister og logistikkaktører</w:t>
      </w:r>
      <w:r>
        <w:t xml:space="preserve">: Martin &amp; Servera, Menigo, Kespro, ASKO, Servicegrossistene, Dagrofa, Hørkram, Dansk Cater og BC Catering. Hvis disse ikke er med, blir overgangen enten for liten i volum eller for dyr i transaksjonskostnad.</w:t>
      </w:r>
      <w:r>
        <w:t xml:space="preserve"> </w:t>
      </w:r>
      <w:hyperlink r:id="rId23">
        <w:r>
          <w:rPr>
            <w:rStyle w:val="Hyperlink"/>
          </w:rPr>
          <w:t xml:space="preserve">[67]</w:t>
        </w:r>
      </w:hyperlink>
    </w:p>
    <w:p>
      <w:pPr>
        <w:pStyle w:val="BodyText"/>
      </w:pPr>
      <w:r>
        <w:t xml:space="preserve">Tredje krets bør være</w:t>
      </w:r>
      <w:r>
        <w:t xml:space="preserve"> </w:t>
      </w:r>
      <w:r>
        <w:rPr>
          <w:b/>
          <w:bCs/>
        </w:rPr>
        <w:t xml:space="preserve">brobyggere mellom produksjon og offentlig kjøkken</w:t>
      </w:r>
      <w:r>
        <w:t xml:space="preserve">: lokale produsentnettverk, samlastings- og distribusjonsmiljøer, matsvinnaktører, emballasje- og returkasseløsninger, samt forsknings- og metodepartnere som kan måle klima, ernæring, kostnad, aksept og resiliens. Her er poenget ikke representasjon i seg selv, men å få med de aktørene som faktisk kan oversette et politisk mål til en fungerende vareflyt.</w:t>
      </w:r>
      <w:r>
        <w:t xml:space="preserve"> </w:t>
      </w:r>
      <w:hyperlink r:id="rId21">
        <w:r>
          <w:rPr>
            <w:rStyle w:val="Hyperlink"/>
          </w:rPr>
          <w:t xml:space="preserve">[68]</w:t>
        </w:r>
      </w:hyperlink>
    </w:p>
    <w:bookmarkEnd w:id="49"/>
    <w:bookmarkEnd w:id="50"/>
    <w:bookmarkEnd w:id="51"/>
    <w:bookmarkEnd w:id="52"/>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[12]</w:t>
        </w:r>
      </w:hyperlink>
      <w:r>
        <w:t xml:space="preserve"> </w:t>
      </w:r>
      <w:hyperlink r:id="rId21">
        <w:r>
          <w:rPr>
            <w:rStyle w:val="Hyperlink"/>
          </w:rPr>
          <w:t xml:space="preserve">[29]</w:t>
        </w:r>
      </w:hyperlink>
      <w:r>
        <w:t xml:space="preserve"> </w:t>
      </w:r>
      <w:hyperlink r:id="rId21">
        <w:r>
          <w:rPr>
            <w:rStyle w:val="Hyperlink"/>
          </w:rPr>
          <w:t xml:space="preserve">[56]</w:t>
        </w:r>
      </w:hyperlink>
      <w:r>
        <w:t xml:space="preserve"> </w:t>
      </w:r>
      <w:hyperlink r:id="rId21">
        <w:r>
          <w:rPr>
            <w:rStyle w:val="Hyperlink"/>
          </w:rPr>
          <w:t xml:space="preserve">[68]</w:t>
        </w:r>
      </w:hyperlink>
      <w:r>
        <w:t xml:space="preserve"> </w:t>
      </w:r>
      <w:r>
        <w:t xml:space="preserve">https://www.upphandlingsmyndigheten.se/branscher/upphandling-av-livsmedel-och-maltidstjanster/olika-distributionslosningar-vid-livsmedelsupphandling2/</w:t>
      </w:r>
    </w:p>
    <w:p>
      <w:pPr>
        <w:pStyle w:val="BodyText"/>
      </w:pPr>
      <w:hyperlink r:id="rId21">
        <w:r>
          <w:rPr>
            <w:rStyle w:val="Hyperlink"/>
          </w:rPr>
          <w:t xml:space="preserve">https://www.upphandlingsmyndigheten.se/branscher/upphandling-av-livsmedel-och-maltidstjanster/olika-distributionslosningar-vid-livsmedelsupphandling2/</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[11]</w:t>
        </w:r>
      </w:hyperlink>
      <w:r>
        <w:t xml:space="preserve"> </w:t>
      </w:r>
      <w:hyperlink r:id="rId22">
        <w:r>
          <w:rPr>
            <w:rStyle w:val="Hyperlink"/>
          </w:rPr>
          <w:t xml:space="preserve">[31]</w:t>
        </w:r>
      </w:hyperlink>
      <w:r>
        <w:t xml:space="preserve"> </w:t>
      </w:r>
      <w:r>
        <w:t xml:space="preserve">https://www.upphandlingsmyndigheten.se/branscher/upphandling-av-livsmedel-och-maltidstjanster/</w:t>
      </w:r>
    </w:p>
    <w:p>
      <w:pPr>
        <w:pStyle w:val="BodyText"/>
      </w:pPr>
      <w:hyperlink r:id="rId22">
        <w:r>
          <w:rPr>
            <w:rStyle w:val="Hyperlink"/>
          </w:rPr>
          <w:t xml:space="preserve">https://www.upphandlingsmyndigheten.se/branscher/upphandling-av-livsmedel-och-maltidstjanster/</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23">
        <w:r>
          <w:rPr>
            <w:rStyle w:val="Hyperlink"/>
          </w:rPr>
          <w:t xml:space="preserve">[9]</w:t>
        </w:r>
      </w:hyperlink>
      <w:r>
        <w:t xml:space="preserve"> </w:t>
      </w:r>
      <w:hyperlink r:id="rId23">
        <w:r>
          <w:rPr>
            <w:rStyle w:val="Hyperlink"/>
          </w:rPr>
          <w:t xml:space="preserve">[17]</w:t>
        </w:r>
      </w:hyperlink>
      <w:r>
        <w:t xml:space="preserve"> </w:t>
      </w:r>
      <w:hyperlink r:id="rId23">
        <w:r>
          <w:rPr>
            <w:rStyle w:val="Hyperlink"/>
          </w:rPr>
          <w:t xml:space="preserve">[36]</w:t>
        </w:r>
      </w:hyperlink>
      <w:r>
        <w:t xml:space="preserve"> </w:t>
      </w:r>
      <w:hyperlink r:id="rId23">
        <w:r>
          <w:rPr>
            <w:rStyle w:val="Hyperlink"/>
          </w:rPr>
          <w:t xml:space="preserve">[42]</w:t>
        </w:r>
      </w:hyperlink>
      <w:r>
        <w:t xml:space="preserve"> </w:t>
      </w:r>
      <w:hyperlink r:id="rId23">
        <w:r>
          <w:rPr>
            <w:rStyle w:val="Hyperlink"/>
          </w:rPr>
          <w:t xml:space="preserve">[44]</w:t>
        </w:r>
      </w:hyperlink>
      <w:r>
        <w:t xml:space="preserve"> </w:t>
      </w:r>
      <w:hyperlink r:id="rId23">
        <w:r>
          <w:rPr>
            <w:rStyle w:val="Hyperlink"/>
          </w:rPr>
          <w:t xml:space="preserve">[54]</w:t>
        </w:r>
      </w:hyperlink>
      <w:r>
        <w:t xml:space="preserve"> </w:t>
      </w:r>
      <w:hyperlink r:id="rId23">
        <w:r>
          <w:rPr>
            <w:rStyle w:val="Hyperlink"/>
          </w:rPr>
          <w:t xml:space="preserve">[62]</w:t>
        </w:r>
      </w:hyperlink>
      <w:r>
        <w:t xml:space="preserve"> </w:t>
      </w:r>
      <w:hyperlink r:id="rId23">
        <w:r>
          <w:rPr>
            <w:rStyle w:val="Hyperlink"/>
          </w:rPr>
          <w:t xml:space="preserve">[67]</w:t>
        </w:r>
      </w:hyperlink>
      <w:r>
        <w:t xml:space="preserve"> </w:t>
      </w:r>
      <w:r>
        <w:t xml:space="preserve">https://www.kesko.fi/4ab8cf/globalassets/03-sijoittaja/raporttikeskus/2025/q3/keskoq32025_roadshowpresentation---dnbc-paris.pdf</w:t>
      </w:r>
    </w:p>
    <w:p>
      <w:pPr>
        <w:pStyle w:val="BodyText"/>
      </w:pPr>
      <w:hyperlink r:id="rId23">
        <w:r>
          <w:rPr>
            <w:rStyle w:val="Hyperlink"/>
          </w:rPr>
          <w:t xml:space="preserve">https://www.kesko.fi/4ab8cf/globalassets/03-sijoittaja/raporttikeskus/2025/q3/keskoq32025_roadshowpresentation---dnbc-paris.pdf</w:t>
        </w:r>
      </w:hyperlink>
    </w:p>
    <w:p>
      <w:pPr>
        <w:pStyle w:val="BodyText"/>
      </w:pPr>
      <w:hyperlink r:id="rId24">
        <w:r>
          <w:rPr>
            <w:rStyle w:val="Hyperlink"/>
          </w:rPr>
          <w:t xml:space="preserve">[4]</w:t>
        </w:r>
      </w:hyperlink>
      <w:r>
        <w:t xml:space="preserve"> </w:t>
      </w:r>
      <w:hyperlink r:id="rId24">
        <w:r>
          <w:rPr>
            <w:rStyle w:val="Hyperlink"/>
          </w:rPr>
          <w:t xml:space="preserve">[33]</w:t>
        </w:r>
      </w:hyperlink>
      <w:r>
        <w:t xml:space="preserve"> </w:t>
      </w:r>
      <w:hyperlink r:id="rId24">
        <w:r>
          <w:rPr>
            <w:rStyle w:val="Hyperlink"/>
          </w:rPr>
          <w:t xml:space="preserve">[34]</w:t>
        </w:r>
      </w:hyperlink>
      <w:r>
        <w:t xml:space="preserve"> </w:t>
      </w:r>
      <w:hyperlink r:id="rId24">
        <w:r>
          <w:rPr>
            <w:rStyle w:val="Hyperlink"/>
          </w:rPr>
          <w:t xml:space="preserve">[38]</w:t>
        </w:r>
      </w:hyperlink>
      <w:r>
        <w:t xml:space="preserve"> </w:t>
      </w:r>
      <w:hyperlink r:id="rId24">
        <w:r>
          <w:rPr>
            <w:rStyle w:val="Hyperlink"/>
          </w:rPr>
          <w:t xml:space="preserve">[45]</w:t>
        </w:r>
      </w:hyperlink>
      <w:r>
        <w:t xml:space="preserve"> </w:t>
      </w:r>
      <w:hyperlink r:id="rId24">
        <w:r>
          <w:rPr>
            <w:rStyle w:val="Hyperlink"/>
          </w:rPr>
          <w:t xml:space="preserve">[47]</w:t>
        </w:r>
      </w:hyperlink>
      <w:r>
        <w:t xml:space="preserve"> </w:t>
      </w:r>
      <w:hyperlink r:id="rId24">
        <w:r>
          <w:rPr>
            <w:rStyle w:val="Hyperlink"/>
          </w:rPr>
          <w:t xml:space="preserve">[48]</w:t>
        </w:r>
      </w:hyperlink>
      <w:r>
        <w:t xml:space="preserve"> </w:t>
      </w:r>
      <w:hyperlink r:id="rId24">
        <w:r>
          <w:rPr>
            <w:rStyle w:val="Hyperlink"/>
          </w:rPr>
          <w:t xml:space="preserve">[55]</w:t>
        </w:r>
      </w:hyperlink>
      <w:r>
        <w:t xml:space="preserve"> </w:t>
      </w:r>
      <w:hyperlink r:id="rId24">
        <w:r>
          <w:rPr>
            <w:rStyle w:val="Hyperlink"/>
          </w:rPr>
          <w:t xml:space="preserve">[66]</w:t>
        </w:r>
      </w:hyperlink>
      <w:r>
        <w:t xml:space="preserve"> </w:t>
      </w:r>
      <w:r>
        <w:t xml:space="preserve">https://maaltider.kk.dk/sites/default/files/2022-06/The%20City%20of%20Copenhagen%20Food%20Strategy%202019.pdf</w:t>
      </w:r>
    </w:p>
    <w:p>
      <w:pPr>
        <w:pStyle w:val="BodyText"/>
      </w:pPr>
      <w:hyperlink r:id="rId24">
        <w:r>
          <w:rPr>
            <w:rStyle w:val="Hyperlink"/>
          </w:rPr>
          <w:t xml:space="preserve">https://maaltider.kk.dk/sites/default/files/2022-06/The%20City%20of%20Copenhagen%20Food%20Strategy%202019.pdf</w:t>
        </w:r>
      </w:hyperlink>
    </w:p>
    <w:p>
      <w:pPr>
        <w:pStyle w:val="BodyText"/>
      </w:pPr>
      <w:hyperlink r:id="rId25">
        <w:r>
          <w:rPr>
            <w:rStyle w:val="Hyperlink"/>
          </w:rPr>
          <w:t xml:space="preserve">[6]</w:t>
        </w:r>
      </w:hyperlink>
      <w:r>
        <w:t xml:space="preserve"> </w:t>
      </w:r>
      <w:hyperlink r:id="rId25">
        <w:r>
          <w:rPr>
            <w:rStyle w:val="Hyperlink"/>
          </w:rPr>
          <w:t xml:space="preserve">[39]</w:t>
        </w:r>
      </w:hyperlink>
      <w:r>
        <w:t xml:space="preserve"> </w:t>
      </w:r>
      <w:r>
        <w:t xml:space="preserve">https://pub.norden.org/nord2020-048/nord2020-048.pdf</w:t>
      </w:r>
    </w:p>
    <w:p>
      <w:pPr>
        <w:pStyle w:val="BodyText"/>
      </w:pPr>
      <w:hyperlink r:id="rId25">
        <w:r>
          <w:rPr>
            <w:rStyle w:val="Hyperlink"/>
          </w:rPr>
          <w:t xml:space="preserve">https://pub.norden.org/nord2020-048/nord2020-048.pdf</w:t>
        </w:r>
      </w:hyperlink>
    </w:p>
    <w:p>
      <w:pPr>
        <w:pStyle w:val="BodyText"/>
      </w:pPr>
      <w:hyperlink r:id="rId27">
        <w:r>
          <w:rPr>
            <w:rStyle w:val="Hyperlink"/>
          </w:rPr>
          <w:t xml:space="preserve">[10]</w:t>
        </w:r>
      </w:hyperlink>
      <w:r>
        <w:t xml:space="preserve"> </w:t>
      </w:r>
      <w:hyperlink r:id="rId27">
        <w:r>
          <w:rPr>
            <w:rStyle w:val="Hyperlink"/>
          </w:rPr>
          <w:t xml:space="preserve">[15]</w:t>
        </w:r>
      </w:hyperlink>
      <w:r>
        <w:t xml:space="preserve"> </w:t>
      </w:r>
      <w:hyperlink r:id="rId27">
        <w:r>
          <w:rPr>
            <w:rStyle w:val="Hyperlink"/>
          </w:rPr>
          <w:t xml:space="preserve">[25]</w:t>
        </w:r>
      </w:hyperlink>
      <w:r>
        <w:t xml:space="preserve"> </w:t>
      </w:r>
      <w:hyperlink r:id="rId27">
        <w:r>
          <w:rPr>
            <w:rStyle w:val="Hyperlink"/>
          </w:rPr>
          <w:t xml:space="preserve">[37]</w:t>
        </w:r>
      </w:hyperlink>
      <w:r>
        <w:t xml:space="preserve"> </w:t>
      </w:r>
      <w:hyperlink r:id="rId27">
        <w:r>
          <w:rPr>
            <w:rStyle w:val="Hyperlink"/>
          </w:rPr>
          <w:t xml:space="preserve">[64]</w:t>
        </w:r>
      </w:hyperlink>
      <w:r>
        <w:t xml:space="preserve"> </w:t>
      </w:r>
      <w:r>
        <w:t xml:space="preserve">https://en.foedevarestyrelsen.dk/food/labelling-and-marketing-of-food/organic-food/the-organic-cuisine-label/what-is-the-organic-cuisine-label</w:t>
      </w:r>
    </w:p>
    <w:p>
      <w:pPr>
        <w:pStyle w:val="BodyText"/>
      </w:pPr>
      <w:hyperlink r:id="rId27">
        <w:r>
          <w:rPr>
            <w:rStyle w:val="Hyperlink"/>
          </w:rPr>
          <w:t xml:space="preserve">https://en.foedevarestyrelsen.dk/food/labelling-and-marketing-of-food/organic-food/the-organic-cuisine-label/what-is-the-organic-cuisine-label</w:t>
        </w:r>
      </w:hyperlink>
    </w:p>
    <w:p>
      <w:pPr>
        <w:pStyle w:val="BodyText"/>
      </w:pPr>
      <w:hyperlink r:id="rId28">
        <w:r>
          <w:rPr>
            <w:rStyle w:val="Hyperlink"/>
          </w:rPr>
          <w:t xml:space="preserve">[13]</w:t>
        </w:r>
      </w:hyperlink>
      <w:r>
        <w:t xml:space="preserve"> </w:t>
      </w:r>
      <w:hyperlink r:id="rId28">
        <w:r>
          <w:rPr>
            <w:rStyle w:val="Hyperlink"/>
          </w:rPr>
          <w:t xml:space="preserve">[14]</w:t>
        </w:r>
      </w:hyperlink>
      <w:r>
        <w:t xml:space="preserve"> </w:t>
      </w:r>
      <w:hyperlink r:id="rId28">
        <w:r>
          <w:rPr>
            <w:rStyle w:val="Hyperlink"/>
          </w:rPr>
          <w:t xml:space="preserve">[50]</w:t>
        </w:r>
      </w:hyperlink>
      <w:r>
        <w:t xml:space="preserve"> </w:t>
      </w:r>
      <w:r>
        <w:t xml:space="preserve">https://www.oph.fi/en/education-and-qualifications/school-meals-finland</w:t>
      </w:r>
    </w:p>
    <w:p>
      <w:pPr>
        <w:pStyle w:val="BodyText"/>
      </w:pPr>
      <w:hyperlink r:id="rId28">
        <w:r>
          <w:rPr>
            <w:rStyle w:val="Hyperlink"/>
          </w:rPr>
          <w:t xml:space="preserve">https://www.oph.fi/en/education-and-qualifications/school-meals-finland</w:t>
        </w:r>
      </w:hyperlink>
    </w:p>
    <w:p>
      <w:pPr>
        <w:pStyle w:val="BodyText"/>
      </w:pPr>
      <w:hyperlink r:id="rId29">
        <w:r>
          <w:rPr>
            <w:rStyle w:val="Hyperlink"/>
          </w:rPr>
          <w:t xml:space="preserve">[16]</w:t>
        </w:r>
      </w:hyperlink>
      <w:r>
        <w:t xml:space="preserve"> </w:t>
      </w:r>
      <w:r>
        <w:t xml:space="preserve">https://www.fao.org/platforms/school-food/around-the-world/europe-and-central-asia/norway/en</w:t>
      </w:r>
    </w:p>
    <w:p>
      <w:pPr>
        <w:pStyle w:val="BodyText"/>
      </w:pPr>
      <w:hyperlink r:id="rId29">
        <w:r>
          <w:rPr>
            <w:rStyle w:val="Hyperlink"/>
          </w:rPr>
          <w:t xml:space="preserve">https://www.fao.org/platforms/school-food/around-the-world/europe-and-central-asia/norway/en</w:t>
        </w:r>
      </w:hyperlink>
    </w:p>
    <w:p>
      <w:pPr>
        <w:pStyle w:val="BodyText"/>
      </w:pPr>
      <w:hyperlink r:id="rId30">
        <w:r>
          <w:rPr>
            <w:rStyle w:val="Hyperlink"/>
          </w:rPr>
          <w:t xml:space="preserve">[18]</w:t>
        </w:r>
      </w:hyperlink>
      <w:r>
        <w:t xml:space="preserve"> </w:t>
      </w:r>
      <w:r>
        <w:t xml:space="preserve">https://reykjavik.is/en/primary-school-meals</w:t>
      </w:r>
    </w:p>
    <w:p>
      <w:pPr>
        <w:pStyle w:val="BodyText"/>
      </w:pPr>
      <w:hyperlink r:id="rId30">
        <w:r>
          <w:rPr>
            <w:rStyle w:val="Hyperlink"/>
          </w:rPr>
          <w:t xml:space="preserve">https://reykjavik.is/en/primary-school-meals</w:t>
        </w:r>
      </w:hyperlink>
    </w:p>
    <w:p>
      <w:pPr>
        <w:pStyle w:val="BodyText"/>
      </w:pPr>
      <w:hyperlink r:id="rId32">
        <w:r>
          <w:rPr>
            <w:rStyle w:val="Hyperlink"/>
          </w:rPr>
          <w:t xml:space="preserve">[19]</w:t>
        </w:r>
      </w:hyperlink>
      <w:r>
        <w:t xml:space="preserve"> </w:t>
      </w:r>
      <w:r>
        <w:t xml:space="preserve">https://eur-lex.europa.eu/legal-content/EN/TXT/?uri=celex%3A32014L0024</w:t>
      </w:r>
    </w:p>
    <w:p>
      <w:pPr>
        <w:pStyle w:val="BodyText"/>
      </w:pPr>
      <w:hyperlink r:id="rId32">
        <w:r>
          <w:rPr>
            <w:rStyle w:val="Hyperlink"/>
          </w:rPr>
          <w:t xml:space="preserve">https://eur-lex.europa.eu/legal-content/EN/TXT/?uri=celex%3A32014L0024</w:t>
        </w:r>
      </w:hyperlink>
    </w:p>
    <w:p>
      <w:pPr>
        <w:pStyle w:val="BodyText"/>
      </w:pPr>
      <w:hyperlink r:id="rId33">
        <w:r>
          <w:rPr>
            <w:rStyle w:val="Hyperlink"/>
          </w:rPr>
          <w:t xml:space="preserve">[20]</w:t>
        </w:r>
      </w:hyperlink>
      <w:r>
        <w:t xml:space="preserve"> </w:t>
      </w:r>
      <w:hyperlink r:id="rId33">
        <w:r>
          <w:rPr>
            <w:rStyle w:val="Hyperlink"/>
          </w:rPr>
          <w:t xml:space="preserve">[30]</w:t>
        </w:r>
      </w:hyperlink>
      <w:r>
        <w:t xml:space="preserve"> </w:t>
      </w:r>
      <w:hyperlink r:id="rId33">
        <w:r>
          <w:rPr>
            <w:rStyle w:val="Hyperlink"/>
          </w:rPr>
          <w:t xml:space="preserve">[40]</w:t>
        </w:r>
      </w:hyperlink>
      <w:r>
        <w:t xml:space="preserve"> </w:t>
      </w:r>
      <w:hyperlink r:id="rId33">
        <w:r>
          <w:rPr>
            <w:rStyle w:val="Hyperlink"/>
          </w:rPr>
          <w:t xml:space="preserve">[43]</w:t>
        </w:r>
      </w:hyperlink>
      <w:r>
        <w:t xml:space="preserve"> </w:t>
      </w:r>
      <w:hyperlink r:id="rId33">
        <w:r>
          <w:rPr>
            <w:rStyle w:val="Hyperlink"/>
          </w:rPr>
          <w:t xml:space="preserve">[57]</w:t>
        </w:r>
      </w:hyperlink>
      <w:r>
        <w:t xml:space="preserve"> </w:t>
      </w:r>
      <w:hyperlink r:id="rId33">
        <w:r>
          <w:rPr>
            <w:rStyle w:val="Hyperlink"/>
          </w:rPr>
          <w:t xml:space="preserve">[59]</w:t>
        </w:r>
      </w:hyperlink>
      <w:r>
        <w:t xml:space="preserve"> </w:t>
      </w:r>
      <w:r>
        <w:t xml:space="preserve">https://pub.norden.org/temanord2021-504/</w:t>
      </w:r>
    </w:p>
    <w:p>
      <w:pPr>
        <w:pStyle w:val="BodyText"/>
      </w:pPr>
      <w:hyperlink r:id="rId33">
        <w:r>
          <w:rPr>
            <w:rStyle w:val="Hyperlink"/>
          </w:rPr>
          <w:t xml:space="preserve">https://pub.norden.org/temanord2021-504/</w:t>
        </w:r>
      </w:hyperlink>
    </w:p>
    <w:p>
      <w:pPr>
        <w:pStyle w:val="BodyText"/>
      </w:pPr>
      <w:hyperlink r:id="rId34">
        <w:r>
          <w:rPr>
            <w:rStyle w:val="Hyperlink"/>
          </w:rPr>
          <w:t xml:space="preserve">[21]</w:t>
        </w:r>
      </w:hyperlink>
      <w:r>
        <w:t xml:space="preserve"> </w:t>
      </w:r>
      <w:hyperlink r:id="rId34">
        <w:r>
          <w:rPr>
            <w:rStyle w:val="Hyperlink"/>
          </w:rPr>
          <w:t xml:space="preserve">[22]</w:t>
        </w:r>
      </w:hyperlink>
      <w:r>
        <w:t xml:space="preserve"> </w:t>
      </w:r>
      <w:hyperlink r:id="rId34">
        <w:r>
          <w:rPr>
            <w:rStyle w:val="Hyperlink"/>
          </w:rPr>
          <w:t xml:space="preserve">[24]</w:t>
        </w:r>
      </w:hyperlink>
      <w:r>
        <w:t xml:space="preserve"> </w:t>
      </w:r>
      <w:hyperlink r:id="rId34">
        <w:r>
          <w:rPr>
            <w:rStyle w:val="Hyperlink"/>
          </w:rPr>
          <w:t xml:space="preserve">[27]</w:t>
        </w:r>
      </w:hyperlink>
      <w:r>
        <w:t xml:space="preserve"> </w:t>
      </w:r>
      <w:hyperlink r:id="rId34">
        <w:r>
          <w:rPr>
            <w:rStyle w:val="Hyperlink"/>
          </w:rPr>
          <w:t xml:space="preserve">[32]</w:t>
        </w:r>
      </w:hyperlink>
      <w:r>
        <w:t xml:space="preserve"> </w:t>
      </w:r>
      <w:hyperlink r:id="rId34">
        <w:r>
          <w:rPr>
            <w:rStyle w:val="Hyperlink"/>
          </w:rPr>
          <w:t xml:space="preserve">[53]</w:t>
        </w:r>
      </w:hyperlink>
      <w:r>
        <w:t xml:space="preserve"> </w:t>
      </w:r>
      <w:hyperlink r:id="rId34">
        <w:r>
          <w:rPr>
            <w:rStyle w:val="Hyperlink"/>
          </w:rPr>
          <w:t xml:space="preserve">[58]</w:t>
        </w:r>
      </w:hyperlink>
      <w:r>
        <w:t xml:space="preserve"> </w:t>
      </w:r>
      <w:hyperlink r:id="rId34">
        <w:r>
          <w:rPr>
            <w:rStyle w:val="Hyperlink"/>
          </w:rPr>
          <w:t xml:space="preserve">[65]</w:t>
        </w:r>
      </w:hyperlink>
      <w:r>
        <w:t xml:space="preserve"> </w:t>
      </w:r>
      <w:r>
        <w:t xml:space="preserve">https://www.motiva.fi/wp-content/uploads/sites/2/2026/01/Guide-for-the-Responsible-Procurement-of-Food-%E2%80%93-Recommendations-for-requirements-and-evaluation-criteria.pdf</w:t>
      </w:r>
    </w:p>
    <w:p>
      <w:pPr>
        <w:pStyle w:val="BodyText"/>
      </w:pPr>
      <w:hyperlink r:id="rId34">
        <w:r>
          <w:rPr>
            <w:rStyle w:val="Hyperlink"/>
          </w:rPr>
          <w:t xml:space="preserve">https://www.motiva.fi/wp-content/uploads/sites/2/2026/01/Guide-for-the-Responsible-Procurement-of-Food-%E2%80%93-Recommendations-for-requirements-and-evaluation-criteria.pdf</w:t>
        </w:r>
      </w:hyperlink>
    </w:p>
    <w:p>
      <w:pPr>
        <w:pStyle w:val="BodyText"/>
      </w:pPr>
      <w:hyperlink r:id="rId35">
        <w:r>
          <w:rPr>
            <w:rStyle w:val="Hyperlink"/>
          </w:rPr>
          <w:t xml:space="preserve">[23]</w:t>
        </w:r>
      </w:hyperlink>
      <w:r>
        <w:t xml:space="preserve"> </w:t>
      </w:r>
      <w:r>
        <w:t xml:space="preserve">https://www.livsmedelsverket.se/en/food-habits-health-and-environment/maltider-i-vard-skola-och-omsorg/skola/</w:t>
      </w:r>
    </w:p>
    <w:p>
      <w:pPr>
        <w:pStyle w:val="BodyText"/>
      </w:pPr>
      <w:hyperlink r:id="rId35">
        <w:r>
          <w:rPr>
            <w:rStyle w:val="Hyperlink"/>
          </w:rPr>
          <w:t xml:space="preserve">https://www.livsmedelsverket.se/en/food-habits-health-and-environment/maltider-i-vard-skola-och-omsorg/skola/</w:t>
        </w:r>
      </w:hyperlink>
    </w:p>
    <w:p>
      <w:pPr>
        <w:pStyle w:val="BodyText"/>
      </w:pPr>
      <w:hyperlink r:id="rId36">
        <w:r>
          <w:rPr>
            <w:rStyle w:val="Hyperlink"/>
          </w:rPr>
          <w:t xml:space="preserve">[26]</w:t>
        </w:r>
      </w:hyperlink>
      <w:r>
        <w:t xml:space="preserve"> </w:t>
      </w:r>
      <w:hyperlink r:id="rId36">
        <w:r>
          <w:rPr>
            <w:rStyle w:val="Hyperlink"/>
          </w:rPr>
          <w:t xml:space="preserve">[60]</w:t>
        </w:r>
      </w:hyperlink>
      <w:r>
        <w:t xml:space="preserve"> </w:t>
      </w:r>
      <w:r>
        <w:t xml:space="preserve">https://www.helsedirektoratet.no/rapporter/nasjonal-kartlegging-innen-ernaeringsomradet-i-spesialisthelsetjenesten/pdf-av-rapporten/Kartlegging%20av%20ern%C3%A6ringsomr%C3%A5det%20i%20spesialisthelsetjenesten%202024.pdf</w:t>
      </w:r>
    </w:p>
    <w:p>
      <w:pPr>
        <w:pStyle w:val="BodyText"/>
      </w:pPr>
      <w:hyperlink r:id="rId36">
        <w:r>
          <w:rPr>
            <w:rStyle w:val="Hyperlink"/>
          </w:rPr>
          <w:t xml:space="preserve">https://www.helsedirektoratet.no/rapporter/nasjonal-kartlegging-innen-ernaeringsomradet-i-spesialisthelsetjenesten/pdf-av-rapporten/Kartlegging%20av%20ern%C3%A6ringsomr%C3%A5det%20i%20spesialisthelsetjenesten%202024.pdf</w:t>
        </w:r>
      </w:hyperlink>
    </w:p>
    <w:p>
      <w:pPr>
        <w:pStyle w:val="BodyText"/>
      </w:pPr>
      <w:hyperlink r:id="rId37">
        <w:r>
          <w:rPr>
            <w:rStyle w:val="Hyperlink"/>
          </w:rPr>
          <w:t xml:space="preserve">[28]</w:t>
        </w:r>
      </w:hyperlink>
      <w:r>
        <w:t xml:space="preserve"> </w:t>
      </w:r>
      <w:r>
        <w:t xml:space="preserve">https://www.regjeringen.no/no/aktuelt/historisk-endring-na-skal-klima-og-miljo-vektes-minst-30-i-offentlige-anskaffelser/id2990427/</w:t>
      </w:r>
    </w:p>
    <w:p>
      <w:pPr>
        <w:pStyle w:val="BodyText"/>
      </w:pPr>
      <w:hyperlink r:id="rId37">
        <w:r>
          <w:rPr>
            <w:rStyle w:val="Hyperlink"/>
          </w:rPr>
          <w:t xml:space="preserve">https://www.regjeringen.no/no/aktuelt/historisk-endring-na-skal-klima-og-miljo-vektes-minst-30-i-offentlige-anskaffelser/id2990427/</w:t>
        </w:r>
      </w:hyperlink>
    </w:p>
    <w:p>
      <w:pPr>
        <w:pStyle w:val="BodyText"/>
      </w:pPr>
      <w:hyperlink r:id="rId39">
        <w:r>
          <w:rPr>
            <w:rStyle w:val="Hyperlink"/>
          </w:rPr>
          <w:t xml:space="preserve">[35]</w:t>
        </w:r>
      </w:hyperlink>
      <w:r>
        <w:t xml:space="preserve"> </w:t>
      </w:r>
      <w:hyperlink r:id="rId39">
        <w:r>
          <w:rPr>
            <w:rStyle w:val="Hyperlink"/>
          </w:rPr>
          <w:t xml:space="preserve">[49]</w:t>
        </w:r>
      </w:hyperlink>
      <w:r>
        <w:t xml:space="preserve"> </w:t>
      </w:r>
      <w:r>
        <w:t xml:space="preserve">https://www.livsmedelsverket.se/globalassets/publikationsdatabas/andra-sprak/national-guidelines-for-school-meals_swedish-food-agency.pdf</w:t>
      </w:r>
    </w:p>
    <w:p>
      <w:pPr>
        <w:pStyle w:val="BodyText"/>
      </w:pPr>
      <w:hyperlink r:id="rId39">
        <w:r>
          <w:rPr>
            <w:rStyle w:val="Hyperlink"/>
          </w:rPr>
          <w:t xml:space="preserve">https://www.livsmedelsverket.se/globalassets/publikationsdatabas/andra-sprak/national-guidelines-for-school-meals_swedish-food-agency.pdf</w:t>
        </w:r>
      </w:hyperlink>
    </w:p>
    <w:p>
      <w:pPr>
        <w:pStyle w:val="BodyText"/>
      </w:pPr>
      <w:hyperlink r:id="rId40">
        <w:r>
          <w:rPr>
            <w:rStyle w:val="Hyperlink"/>
          </w:rPr>
          <w:t xml:space="preserve">[41]</w:t>
        </w:r>
      </w:hyperlink>
      <w:r>
        <w:t xml:space="preserve"> </w:t>
      </w:r>
      <w:hyperlink r:id="rId40">
        <w:r>
          <w:rPr>
            <w:rStyle w:val="Hyperlink"/>
          </w:rPr>
          <w:t xml:space="preserve">[46]</w:t>
        </w:r>
      </w:hyperlink>
      <w:r>
        <w:t xml:space="preserve"> </w:t>
      </w:r>
      <w:r>
        <w:t xml:space="preserve">https://www.upphandlingsmyndigheten.se/kriterier/livsmedel-och-maltidstjanster/forpackningar-och-returlador-livsmedel/forpackningar-och-returlador-livsmedel/</w:t>
      </w:r>
    </w:p>
    <w:p>
      <w:pPr>
        <w:pStyle w:val="BodyText"/>
      </w:pPr>
      <w:hyperlink r:id="rId40">
        <w:r>
          <w:rPr>
            <w:rStyle w:val="Hyperlink"/>
          </w:rPr>
          <w:t xml:space="preserve">https://www.upphandlingsmyndigheten.se/kriterier/livsmedel-och-maltidstjanster/forpackningar-och-returlador-livsmedel/forpackningar-och-returlador-livsmedel/</w:t>
        </w:r>
      </w:hyperlink>
    </w:p>
    <w:p>
      <w:pPr>
        <w:pStyle w:val="BodyText"/>
      </w:pPr>
      <w:hyperlink r:id="rId42">
        <w:r>
          <w:rPr>
            <w:rStyle w:val="Hyperlink"/>
          </w:rPr>
          <w:t xml:space="preserve">[51]</w:t>
        </w:r>
      </w:hyperlink>
      <w:r>
        <w:t xml:space="preserve"> </w:t>
      </w:r>
      <w:r>
        <w:t xml:space="preserve">https://www.helsedirektoratet.no/rapporter/skolemaltid-i-norge-kunnskapsgrunnlag-nytte-kostnadsvirkninger-og-implementering/pdf-versjon-av-rapporten/Skolem%C3%A5ltid%20i%20Norge%20-%20Kunnskapsgrunnlag%2C%20nytte-kostnadsvirkninger%20og%20implementering.pdf</w:t>
      </w:r>
    </w:p>
    <w:p>
      <w:pPr>
        <w:pStyle w:val="BodyText"/>
      </w:pPr>
      <w:hyperlink r:id="rId42">
        <w:r>
          <w:rPr>
            <w:rStyle w:val="Hyperlink"/>
          </w:rPr>
          <w:t xml:space="preserve">https://www.helsedirektoratet.no/rapporter/skolemaltid-i-norge-kunnskapsgrunnlag-nytte-kostnadsvirkninger-og-implementering/pdf-versjon-av-rapporten/Skolem%C3%A5ltid%20i%20Norge%20-%20Kunnskapsgrunnlag%2C%20nytte-kostnadsvirkninger%20og%20implementering.pdf</w:t>
        </w:r>
      </w:hyperlink>
    </w:p>
    <w:p>
      <w:pPr>
        <w:pStyle w:val="BodyText"/>
      </w:pPr>
      <w:hyperlink r:id="rId43">
        <w:r>
          <w:rPr>
            <w:rStyle w:val="Hyperlink"/>
          </w:rPr>
          <w:t xml:space="preserve">[52]</w:t>
        </w:r>
      </w:hyperlink>
      <w:r>
        <w:t xml:space="preserve"> </w:t>
      </w:r>
      <w:hyperlink r:id="rId43">
        <w:r>
          <w:rPr>
            <w:rStyle w:val="Hyperlink"/>
          </w:rPr>
          <w:t xml:space="preserve">[61]</w:t>
        </w:r>
      </w:hyperlink>
      <w:r>
        <w:t xml:space="preserve"> </w:t>
      </w:r>
      <w:r>
        <w:t xml:space="preserve">https://fm.dk/media/b2zl5h0q/20-boerne-og-undervisningsministeriet.pdf</w:t>
      </w:r>
    </w:p>
    <w:p>
      <w:pPr>
        <w:pStyle w:val="BodyText"/>
      </w:pPr>
      <w:hyperlink r:id="rId43">
        <w:r>
          <w:rPr>
            <w:rStyle w:val="Hyperlink"/>
          </w:rPr>
          <w:t xml:space="preserve">https://fm.dk/media/b2zl5h0q/20-boerne-og-undervisningsministeriet.pdf</w:t>
        </w:r>
      </w:hyperlink>
    </w:p>
    <w:p>
      <w:pPr>
        <w:pStyle w:val="BodyText"/>
      </w:pPr>
      <w:hyperlink r:id="rId47">
        <w:r>
          <w:rPr>
            <w:rStyle w:val="Hyperlink"/>
          </w:rPr>
          <w:t xml:space="preserve">[63]</w:t>
        </w:r>
      </w:hyperlink>
      <w:r>
        <w:t xml:space="preserve"> </w:t>
      </w:r>
      <w:r>
        <w:t xml:space="preserve">https://www.matvett.no/uploads/documents/OR.51.20-Matsvinn-i-Norge-2015-2019_2021-02-24-111320.pdf</w:t>
      </w:r>
    </w:p>
    <w:p>
      <w:pPr>
        <w:pStyle w:val="BodyText"/>
      </w:pPr>
      <w:hyperlink r:id="rId47">
        <w:r>
          <w:rPr>
            <w:rStyle w:val="Hyperlink"/>
          </w:rPr>
          <w:t xml:space="preserve">https://www.matvett.no/uploads/documents/OR.51.20-Matsvinn-i-Norge-2015-2019_2021-02-24-111320.pdf</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en.foedevarestyrelsen.dk/food/labelling-and-marketing-of-food/organic-food/the-organic-cuisine-label/what-is-the-organic-cuisine-label" TargetMode="External" /><Relationship Type="http://schemas.openxmlformats.org/officeDocument/2006/relationships/hyperlink" Id="rId32" Target="https://eur-lex.europa.eu/legal-content/EN/TXT/?uri=celex%3A32014L0024" TargetMode="External" /><Relationship Type="http://schemas.openxmlformats.org/officeDocument/2006/relationships/hyperlink" Id="rId43" Target="https://fm.dk/media/b2zl5h0q/20-boerne-og-undervisningsministeriet.pdf" TargetMode="External" /><Relationship Type="http://schemas.openxmlformats.org/officeDocument/2006/relationships/hyperlink" Id="rId24" Target="https://maaltider.kk.dk/sites/default/files/2022-06/The%20City%20of%20Copenhagen%20Food%20Strategy%202019.pdf" TargetMode="External" /><Relationship Type="http://schemas.openxmlformats.org/officeDocument/2006/relationships/hyperlink" Id="rId25" Target="https://pub.norden.org/nord2020-048/nord2020-048.pdf" TargetMode="External" /><Relationship Type="http://schemas.openxmlformats.org/officeDocument/2006/relationships/hyperlink" Id="rId33" Target="https://pub.norden.org/temanord2021-504/" TargetMode="External" /><Relationship Type="http://schemas.openxmlformats.org/officeDocument/2006/relationships/hyperlink" Id="rId30" Target="https://reykjavik.is/en/primary-school-meals" TargetMode="External" /><Relationship Type="http://schemas.openxmlformats.org/officeDocument/2006/relationships/hyperlink" Id="rId29" Target="https://www.fao.org/platforms/school-food/around-the-world/europe-and-central-asia/norway/en" TargetMode="External" /><Relationship Type="http://schemas.openxmlformats.org/officeDocument/2006/relationships/hyperlink" Id="rId36" Target="https://www.helsedirektoratet.no/rapporter/nasjonal-kartlegging-innen-ernaeringsomradet-i-spesialisthelsetjenesten/pdf-av-rapporten/Kartlegging%20av%20ern%C3%A6ringsomr%C3%A5det%20i%20spesialisthelsetjenesten%202024.pdf" TargetMode="External" /><Relationship Type="http://schemas.openxmlformats.org/officeDocument/2006/relationships/hyperlink" Id="rId42" Target="https://www.helsedirektoratet.no/rapporter/skolemaltid-i-norge-kunnskapsgrunnlag-nytte-kostnadsvirkninger-og-implementering/pdf-versjon-av-rapporten/Skolem%C3%A5ltid%20i%20Norge%20-%20Kunnskapsgrunnlag%2C%20nytte-kostnadsvirkninger%20og%20implementering.pdf" TargetMode="External" /><Relationship Type="http://schemas.openxmlformats.org/officeDocument/2006/relationships/hyperlink" Id="rId23" Target="https://www.kesko.fi/4ab8cf/globalassets/03-sijoittaja/raporttikeskus/2025/q3/keskoq32025_roadshowpresentation---dnbc-paris.pdf" TargetMode="External" /><Relationship Type="http://schemas.openxmlformats.org/officeDocument/2006/relationships/hyperlink" Id="rId35" Target="https://www.livsmedelsverket.se/en/food-habits-health-and-environment/maltider-i-vard-skola-och-omsorg/skola/" TargetMode="External" /><Relationship Type="http://schemas.openxmlformats.org/officeDocument/2006/relationships/hyperlink" Id="rId39" Target="https://www.livsmedelsverket.se/globalassets/publikationsdatabas/andra-sprak/national-guidelines-for-school-meals_swedish-food-agency.pdf" TargetMode="External" /><Relationship Type="http://schemas.openxmlformats.org/officeDocument/2006/relationships/hyperlink" Id="rId47" Target="https://www.matvett.no/uploads/documents/OR.51.20-Matsvinn-i-Norge-2015-2019_2021-02-24-111320.pdf" TargetMode="External" /><Relationship Type="http://schemas.openxmlformats.org/officeDocument/2006/relationships/hyperlink" Id="rId34" Target="https://www.motiva.fi/wp-content/uploads/sites/2/2026/01/Guide-for-the-Responsible-Procurement-of-Food-%E2%80%93-Recommendations-for-requirements-and-evaluation-criteria.pdf" TargetMode="External" /><Relationship Type="http://schemas.openxmlformats.org/officeDocument/2006/relationships/hyperlink" Id="rId28" Target="https://www.oph.fi/en/education-and-qualifications/school-meals-finland" TargetMode="External" /><Relationship Type="http://schemas.openxmlformats.org/officeDocument/2006/relationships/hyperlink" Id="rId37" Target="https://www.regjeringen.no/no/aktuelt/historisk-endring-na-skal-klima-og-miljo-vektes-minst-30-i-offentlige-anskaffelser/id2990427/" TargetMode="External" /><Relationship Type="http://schemas.openxmlformats.org/officeDocument/2006/relationships/hyperlink" Id="rId22" Target="https://www.upphandlingsmyndigheten.se/branscher/upphandling-av-livsmedel-och-maltidstjanster/" TargetMode="External" /><Relationship Type="http://schemas.openxmlformats.org/officeDocument/2006/relationships/hyperlink" Id="rId21" Target="https://www.upphandlingsmyndigheten.se/branscher/upphandling-av-livsmedel-och-maltidstjanster/olika-distributionslosningar-vid-livsmedelsupphandling2/" TargetMode="External" /><Relationship Type="http://schemas.openxmlformats.org/officeDocument/2006/relationships/hyperlink" Id="rId40" Target="https://www.upphandlingsmyndigheten.se/kriterier/livsmedel-och-maltidstjanster/forpackningar-och-returlador-livsmedel/forpackningar-och-returlador-livsmedel/" TargetMode="External" /></Relationships>
</file>

<file path=word/_rels/footnotes.xml.rels><?xml version="1.0" encoding="UTF-8"?><Relationships xmlns="http://schemas.openxmlformats.org/package/2006/relationships"><Relationship Type="http://schemas.openxmlformats.org/officeDocument/2006/relationships/hyperlink" Id="rId27" Target="https://en.foedevarestyrelsen.dk/food/labelling-and-marketing-of-food/organic-food/the-organic-cuisine-label/what-is-the-organic-cuisine-label" TargetMode="External" /><Relationship Type="http://schemas.openxmlformats.org/officeDocument/2006/relationships/hyperlink" Id="rId32" Target="https://eur-lex.europa.eu/legal-content/EN/TXT/?uri=celex%3A32014L0024" TargetMode="External" /><Relationship Type="http://schemas.openxmlformats.org/officeDocument/2006/relationships/hyperlink" Id="rId43" Target="https://fm.dk/media/b2zl5h0q/20-boerne-og-undervisningsministeriet.pdf" TargetMode="External" /><Relationship Type="http://schemas.openxmlformats.org/officeDocument/2006/relationships/hyperlink" Id="rId24" Target="https://maaltider.kk.dk/sites/default/files/2022-06/The%20City%20of%20Copenhagen%20Food%20Strategy%202019.pdf" TargetMode="External" /><Relationship Type="http://schemas.openxmlformats.org/officeDocument/2006/relationships/hyperlink" Id="rId25" Target="https://pub.norden.org/nord2020-048/nord2020-048.pdf" TargetMode="External" /><Relationship Type="http://schemas.openxmlformats.org/officeDocument/2006/relationships/hyperlink" Id="rId33" Target="https://pub.norden.org/temanord2021-504/" TargetMode="External" /><Relationship Type="http://schemas.openxmlformats.org/officeDocument/2006/relationships/hyperlink" Id="rId30" Target="https://reykjavik.is/en/primary-school-meals" TargetMode="External" /><Relationship Type="http://schemas.openxmlformats.org/officeDocument/2006/relationships/hyperlink" Id="rId29" Target="https://www.fao.org/platforms/school-food/around-the-world/europe-and-central-asia/norway/en" TargetMode="External" /><Relationship Type="http://schemas.openxmlformats.org/officeDocument/2006/relationships/hyperlink" Id="rId36" Target="https://www.helsedirektoratet.no/rapporter/nasjonal-kartlegging-innen-ernaeringsomradet-i-spesialisthelsetjenesten/pdf-av-rapporten/Kartlegging%20av%20ern%C3%A6ringsomr%C3%A5det%20i%20spesialisthelsetjenesten%202024.pdf" TargetMode="External" /><Relationship Type="http://schemas.openxmlformats.org/officeDocument/2006/relationships/hyperlink" Id="rId42" Target="https://www.helsedirektoratet.no/rapporter/skolemaltid-i-norge-kunnskapsgrunnlag-nytte-kostnadsvirkninger-og-implementering/pdf-versjon-av-rapporten/Skolem%C3%A5ltid%20i%20Norge%20-%20Kunnskapsgrunnlag%2C%20nytte-kostnadsvirkninger%20og%20implementering.pdf" TargetMode="External" /><Relationship Type="http://schemas.openxmlformats.org/officeDocument/2006/relationships/hyperlink" Id="rId23" Target="https://www.kesko.fi/4ab8cf/globalassets/03-sijoittaja/raporttikeskus/2025/q3/keskoq32025_roadshowpresentation---dnbc-paris.pdf" TargetMode="External" /><Relationship Type="http://schemas.openxmlformats.org/officeDocument/2006/relationships/hyperlink" Id="rId35" Target="https://www.livsmedelsverket.se/en/food-habits-health-and-environment/maltider-i-vard-skola-och-omsorg/skola/" TargetMode="External" /><Relationship Type="http://schemas.openxmlformats.org/officeDocument/2006/relationships/hyperlink" Id="rId39" Target="https://www.livsmedelsverket.se/globalassets/publikationsdatabas/andra-sprak/national-guidelines-for-school-meals_swedish-food-agency.pdf" TargetMode="External" /><Relationship Type="http://schemas.openxmlformats.org/officeDocument/2006/relationships/hyperlink" Id="rId47" Target="https://www.matvett.no/uploads/documents/OR.51.20-Matsvinn-i-Norge-2015-2019_2021-02-24-111320.pdf" TargetMode="External" /><Relationship Type="http://schemas.openxmlformats.org/officeDocument/2006/relationships/hyperlink" Id="rId34" Target="https://www.motiva.fi/wp-content/uploads/sites/2/2026/01/Guide-for-the-Responsible-Procurement-of-Food-%E2%80%93-Recommendations-for-requirements-and-evaluation-criteria.pdf" TargetMode="External" /><Relationship Type="http://schemas.openxmlformats.org/officeDocument/2006/relationships/hyperlink" Id="rId28" Target="https://www.oph.fi/en/education-and-qualifications/school-meals-finland" TargetMode="External" /><Relationship Type="http://schemas.openxmlformats.org/officeDocument/2006/relationships/hyperlink" Id="rId37" Target="https://www.regjeringen.no/no/aktuelt/historisk-endring-na-skal-klima-og-miljo-vektes-minst-30-i-offentlige-anskaffelser/id2990427/" TargetMode="External" /><Relationship Type="http://schemas.openxmlformats.org/officeDocument/2006/relationships/hyperlink" Id="rId22" Target="https://www.upphandlingsmyndigheten.se/branscher/upphandling-av-livsmedel-och-maltidstjanster/" TargetMode="External" /><Relationship Type="http://schemas.openxmlformats.org/officeDocument/2006/relationships/hyperlink" Id="rId21" Target="https://www.upphandlingsmyndigheten.se/branscher/upphandling-av-livsmedel-och-maltidstjanster/olika-distributionslosningar-vid-livsmedelsupphandling2/" TargetMode="External" /><Relationship Type="http://schemas.openxmlformats.org/officeDocument/2006/relationships/hyperlink" Id="rId40" Target="https://www.upphandlingsmyndigheten.se/kriterier/livsmedel-och-maltidstjanster/forpackningar-och-returlador-livsmedel/forpackningar-och-returlador-livsme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2026-04-20T05:58:14Z</dcterms:created>
  <dcterms:modified xsi:type="dcterms:W3CDTF">2026-04-20T05:58:14Z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