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1" w:name="content"/>
    <w:bookmarkStart w:id="50" w:name="X6ea567f33941e4637123cdd32920cb55701c574"/>
    <w:p>
      <w:pPr>
        <w:pStyle w:val="Heading1"/>
      </w:pPr>
      <w:r>
        <w:t xml:space="preserve">Nordiske dagligvarecase som mislyktes og hva de avslører om etableringsbarrierer</w:t>
      </w:r>
    </w:p>
    <w:bookmarkStart w:id="24" w:name="hovedfunn"/>
    <w:p>
      <w:pPr>
        <w:pStyle w:val="Heading2"/>
      </w:pPr>
      <w:r>
        <w:t xml:space="preserve">Hovedfunn</w:t>
      </w:r>
    </w:p>
    <w:p>
      <w:pPr>
        <w:pStyle w:val="FirstParagraph"/>
      </w:pPr>
      <w:r>
        <w:t xml:space="preserve">Det mest slående på tvers av casene er at «mislykket entry» i nordisk dagligvare sjelden skyldes én enkelt feil. I Norge</w:t>
      </w:r>
      <w:hyperlink r:id="rId21">
        <w:r>
          <w:rPr>
            <w:rStyle w:val="Hyperlink"/>
          </w:rPr>
          <w:t xml:space="preserve">[1]</w:t>
        </w:r>
      </w:hyperlink>
      <w:r>
        <w:t xml:space="preserve"> </w:t>
      </w:r>
      <w:r>
        <w:t xml:space="preserve">er mønsteret mest strukturelt: markedet er konsentrert, etableringshindringene er høye, norske forbrukere møter høyere priser og dårligere utvalg enn i mange andre land, og myndighetene har selv pekt på ulikheter i innkjøpsbetingelser og begrenset tilgang på butikklokaler som sentrale barrierer. I tillegg skiller Norge seg ut med høye importbarrierer, som gjør markedet mer lukket enn nabolandene og svekker verdien av internasjonal innkjøpsmakt for nye aktører.</w:t>
      </w:r>
      <w:r>
        <w:t xml:space="preserve"> </w:t>
      </w:r>
      <w:hyperlink r:id="rId21">
        <w:r>
          <w:rPr>
            <w:rStyle w:val="Hyperlink"/>
          </w:rPr>
          <w:t xml:space="preserve">[2]</w:t>
        </w:r>
      </w:hyperlink>
    </w:p>
    <w:p>
      <w:pPr>
        <w:pStyle w:val="BodyText"/>
      </w:pPr>
      <w:r>
        <w:t xml:space="preserve">I resten av Norden er bildet mindre politisk skjermet, men ikke nødvendigvis lettere. I Sverige og Danmark viser nettdagligvare- og hjemleveringscasene at utfordringen primært er logistisk og kapitalmessig: plukk, kulde, tidsvinduer og siste mil gjør marginene ekstremt tynne, og selv store aktører har slitt med å gjøre modellene lønnsomme. I Finland viser premium- og nisjecasene at svak innkjøpsmakt og logistikk under skala gjør selv kjente konsepter sårbare, særlig i markeder der få store grupper kontrollerer det meste av volumet.</w:t>
      </w:r>
      <w:r>
        <w:t xml:space="preserve"> </w:t>
      </w:r>
      <w:hyperlink r:id="rId22">
        <w:r>
          <w:rPr>
            <w:rStyle w:val="Hyperlink"/>
          </w:rPr>
          <w:t xml:space="preserve">[3]</w:t>
        </w:r>
      </w:hyperlink>
    </w:p>
    <w:p>
      <w:pPr>
        <w:pStyle w:val="BodyText"/>
      </w:pPr>
      <w:r>
        <w:t xml:space="preserve">Det betyr at de nordiske casene bør leses mindre som enkeltstående ledelsesfeil og mer som tester av hvilke barrierer som faktisk biter. Når en aktør må bygge ny kjede, nytt varetilbud, ny logistikk og ny kundevane samtidig, blir risikoen svært høy. De mest robuste utfordrerne er derfor ikke nødvendigvis de som «kommer med en ny idé», men de som finner en måte å låne eller dele minst én av de tunge ryggradsfunksjonene på: innkjøp, distribusjon eller kundetillit.</w:t>
      </w:r>
      <w:r>
        <w:t xml:space="preserve"> </w:t>
      </w:r>
      <w:hyperlink r:id="rId23">
        <w:r>
          <w:rPr>
            <w:rStyle w:val="Hyperlink"/>
          </w:rPr>
          <w:t xml:space="preserve">[4]</w:t>
        </w:r>
      </w:hyperlink>
    </w:p>
    <w:bookmarkEnd w:id="24"/>
    <w:bookmarkStart w:id="33" w:name="caser-i-norge"/>
    <w:p>
      <w:pPr>
        <w:pStyle w:val="Heading2"/>
      </w:pPr>
      <w:r>
        <w:t xml:space="preserve">Caser i Norge</w:t>
      </w:r>
    </w:p>
    <w:bookmarkStart w:id="29" w:name="lidl5"/>
    <w:p>
      <w:pPr>
        <w:pStyle w:val="Heading3"/>
      </w:pPr>
      <w:r>
        <w:t xml:space="preserve">Lidl</w:t>
      </w:r>
      <w:hyperlink r:id="rId25">
        <w:r>
          <w:rPr>
            <w:rStyle w:val="Hyperlink"/>
          </w:rPr>
          <w:t xml:space="preserve">[5]</w:t>
        </w:r>
      </w:hyperlink>
    </w:p>
    <w:p>
      <w:pPr>
        <w:pStyle w:val="FirstParagraph"/>
      </w:pPr>
      <w:r>
        <w:t xml:space="preserve">Selskapet forsøkte å overføre en internasjonal hard-discountmodell til Norge. Utfallet ble full exit: i 2008 overtok</w:t>
      </w:r>
      <w:r>
        <w:t xml:space="preserve"> </w:t>
      </w:r>
      <w:r>
        <w:rPr>
          <w:b/>
          <w:bCs/>
        </w:rPr>
        <w:t xml:space="preserve">REMA 1000</w:t>
      </w:r>
      <w:hyperlink r:id="rId26">
        <w:r>
          <w:rPr>
            <w:rStyle w:val="Hyperlink"/>
            <w:b/>
            <w:bCs/>
          </w:rPr>
          <w:t xml:space="preserve">[6]</w:t>
        </w:r>
      </w:hyperlink>
      <w:r>
        <w:t xml:space="preserve"> </w:t>
      </w:r>
      <w:r>
        <w:t xml:space="preserve">alle de 50 norske butikkene, hovedkontoret, utviklingskontoret og logistikksystemet. I ettertid har et sentralt spor i forklaringen vært at Lidl ikke forsto norske kunders forventninger og verdier godt nok, og at kjeden ikke klarte å bygge en sterk nok lokal merkevare til å stå opp mot de etablerte norske aktørene.</w:t>
      </w:r>
      <w:r>
        <w:t xml:space="preserve"> </w:t>
      </w:r>
      <w:hyperlink r:id="rId27">
        <w:r>
          <w:rPr>
            <w:rStyle w:val="Hyperlink"/>
          </w:rPr>
          <w:t xml:space="preserve">[7]</w:t>
        </w:r>
      </w:hyperlink>
    </w:p>
    <w:p>
      <w:pPr>
        <w:pStyle w:val="BodyText"/>
      </w:pPr>
      <w:r>
        <w:t xml:space="preserve">Den sannsynlige hovedårsaken var en kombinasjon av pris-, logistikk- og markedsstrukturproblemer. Pris var viktig, men ikke slik diskonter tradisjonelt håper: høye norske importbarrierer og et mer lukket leverandørmarked gjorde det vanskeligere å omsette internasjonal innkjøpsmakt til et tydelig nok prisfortrinn. Logistikk ble tungt fordi modellen krevde egne systemer og egen skala i et kostbart marked. Eiendom var ikke den utløsende årsaken, men den norske konkurransemyndigheten har pekt på begrenset tilgang på butikklokaler som en av de viktigste etableringshindringene i markedet, og den raske absorpsjonen av alle Lidls lokasjoner viser hvor verdifulle slike steder er for etablerte kjeder. Regulering spilte en tydelig rolle gjennom tollvernet; markedskonsentrasjon spilte en tydelig rolle ved at de etablerte allerede var sterke i lavprissegmentet; forbrukeratferd spilte inn ved at norske kunder forventet mer lokal tilpasning; kapital spilte inn ved at Lidl ikke valgte å subsidiere en langsom læringskurve lenger enn fire år.</w:t>
      </w:r>
      <w:r>
        <w:t xml:space="preserve"> </w:t>
      </w:r>
      <w:hyperlink r:id="rId28">
        <w:r>
          <w:rPr>
            <w:rStyle w:val="Hyperlink"/>
          </w:rPr>
          <w:t xml:space="preserve">[8]</w:t>
        </w:r>
      </w:hyperlink>
    </w:p>
    <w:p>
      <w:pPr>
        <w:pStyle w:val="BodyText"/>
      </w:pPr>
      <w:r>
        <w:t xml:space="preserve">Caset sier derfor noe viktig om norske barrierer: det holder ikke å komme inn med internasjonal effektivitet alene. En ny aktør må samtidig få nok prisrom, tilstrekkelig lokasjonsadgang og et tilbud som oppleves som relevant i norske husholdningers hverdag. Faller én av disse tre bort, blir fastkostnadene og oppstartstapene fort for tunge.</w:t>
      </w:r>
      <w:r>
        <w:t xml:space="preserve"> </w:t>
      </w:r>
      <w:hyperlink r:id="rId28">
        <w:r>
          <w:rPr>
            <w:rStyle w:val="Hyperlink"/>
          </w:rPr>
          <w:t xml:space="preserve">[9]</w:t>
        </w:r>
      </w:hyperlink>
    </w:p>
    <w:bookmarkEnd w:id="29"/>
    <w:bookmarkStart w:id="32" w:name="ica-norge10"/>
    <w:p>
      <w:pPr>
        <w:pStyle w:val="Heading3"/>
      </w:pPr>
      <w:r>
        <w:t xml:space="preserve">ICA Norge</w:t>
      </w:r>
      <w:hyperlink r:id="rId30">
        <w:r>
          <w:rPr>
            <w:rStyle w:val="Hyperlink"/>
          </w:rPr>
          <w:t xml:space="preserve">[10]</w:t>
        </w:r>
      </w:hyperlink>
    </w:p>
    <w:p>
      <w:pPr>
        <w:pStyle w:val="FirstParagraph"/>
      </w:pPr>
      <w:r>
        <w:t xml:space="preserve">Dette er ikke et «nykommercase» i snever forstand, men det er et av de viktigste nordiske feilsporene fordi det viser hvor vanskelig det er å være fjerde fullskalaaktør i Norge over tid. ICA Norge drev et komplett norsk dagligvaresystem med grossist-, logistikk- og butikkledd, og hadde ved salget til</w:t>
      </w:r>
      <w:r>
        <w:t xml:space="preserve"> </w:t>
      </w:r>
      <w:r>
        <w:rPr>
          <w:b/>
          <w:bCs/>
        </w:rPr>
        <w:t xml:space="preserve">Coop Norge</w:t>
      </w:r>
      <w:hyperlink r:id="rId28">
        <w:r>
          <w:rPr>
            <w:rStyle w:val="Hyperlink"/>
            <w:b/>
            <w:bCs/>
          </w:rPr>
          <w:t xml:space="preserve">[11]</w:t>
        </w:r>
      </w:hyperlink>
      <w:r>
        <w:t xml:space="preserve"> </w:t>
      </w:r>
      <w:r>
        <w:t xml:space="preserve">i 2014 rundt 3 600 ansatte og 553 butikker. Allerede i 2011 prøvde konsernet å snu utviklingen ved å selge ICA Maxi-butikkene og rendyrke virksomheten rundt Rimi og ICA Supermarket.</w:t>
      </w:r>
      <w:r>
        <w:t xml:space="preserve"> </w:t>
      </w:r>
      <w:hyperlink r:id="rId26">
        <w:r>
          <w:rPr>
            <w:rStyle w:val="Hyperlink"/>
          </w:rPr>
          <w:t xml:space="preserve">[12]</w:t>
        </w:r>
      </w:hyperlink>
    </w:p>
    <w:p>
      <w:pPr>
        <w:pStyle w:val="BodyText"/>
      </w:pPr>
      <w:r>
        <w:t xml:space="preserve">Den uttalte og sannsynlige hovedårsaken til at dette mislyktes var for svak skala i et marked som ble stadig mer prisdrevet. ICA Gruppen opplyste ved salget at den norske virksomheten hadde et underliggende driftsresultat på minus 577 MSEK siste tolvmånedersperiode før juni 2014. Parallelt viser salgsprosessen og konkurransedokumentene at ICAs markedsandel hadde falt jevnt fra 15,7 prosent i 2009 til 11,1 prosent i 2013, samtidig som lavprissegmentet hadde vokst til 59,7 prosent av markedet. Et annet nøkkelmoment er at ICA forsøkte å kompensere for manglende skala gjennom et innkjøps- og distribusjonssamarbeid med</w:t>
      </w:r>
      <w:r>
        <w:t xml:space="preserve"> </w:t>
      </w:r>
      <w:r>
        <w:rPr>
          <w:b/>
          <w:bCs/>
        </w:rPr>
        <w:t xml:space="preserve">NorgesGruppen</w:t>
      </w:r>
      <w:hyperlink r:id="rId31">
        <w:r>
          <w:rPr>
            <w:rStyle w:val="Hyperlink"/>
            <w:b/>
            <w:bCs/>
          </w:rPr>
          <w:t xml:space="preserve">[13]</w:t>
        </w:r>
      </w:hyperlink>
      <w:r>
        <w:t xml:space="preserve">, men en lang godkjenningsprosess ga behov for en «plan B», og den ble salg.</w:t>
      </w:r>
      <w:r>
        <w:t xml:space="preserve"> </w:t>
      </w:r>
      <w:hyperlink r:id="rId26">
        <w:r>
          <w:rPr>
            <w:rStyle w:val="Hyperlink"/>
          </w:rPr>
          <w:t xml:space="preserve">[14]</w:t>
        </w:r>
      </w:hyperlink>
    </w:p>
    <w:p>
      <w:pPr>
        <w:pStyle w:val="BodyText"/>
      </w:pPr>
      <w:r>
        <w:t xml:space="preserve">Pris spilte her hovedrollen, fordi markedet beveget seg stadig tydeligere mot lavpris og fordi prispresset var hardt. Logistikk og grossistleddet var helt sentrale, fordi ICA i praksis måtte bære kostnaden ved å være en hel kjede uten å ha volum som de største. Eiendom fremstår som sekundært i årsaksbildet; det er illustrerende at det egen</w:t>
      </w:r>
      <w:r>
        <w:softHyphen/>
      </w:r>
      <w:r>
        <w:t xml:space="preserve">eide fastighetsbestandet i Norge ble holdt utenfor salget. Regulering spilte inn gjennom konkurransebehandlingen av samarbeid som kunne ha gitt ICA lavere kostnader, men ikke som «skyldig» i exiten; den dypere forklaringen var markedskonsentrasjon kombinert med svak bedriftsøkonomi. Forbrukeratferd betydde også noe: tidligere rapportering fra konsernet beskrev norske kunder som svært prisbevisste, handlende flere ganger i uken, og samtidig opptatt av lokalt produsert mat. Kapital ble til slutt avgjørende fordi årelange tap gjorde videre satsing mindre rasjonell.</w:t>
      </w:r>
      <w:r>
        <w:t xml:space="preserve"> </w:t>
      </w:r>
      <w:hyperlink r:id="rId26">
        <w:r>
          <w:rPr>
            <w:rStyle w:val="Hyperlink"/>
          </w:rPr>
          <w:t xml:space="preserve">[15]</w:t>
        </w:r>
      </w:hyperlink>
    </w:p>
    <w:p>
      <w:pPr>
        <w:pStyle w:val="BodyText"/>
      </w:pPr>
      <w:r>
        <w:t xml:space="preserve">Caset sier at den norske barrieren ikke bare handler om å «komme inn», men om å opprettholde et helt industrielt apparat under vedvarende priskrig. Selv en stor nordisk aktør med hundrevis av butikker kan falle ut hvis innkjøpsmakten, logistikkvolumet og formatmiksen ikke er sterke nok.</w:t>
      </w:r>
      <w:r>
        <w:t xml:space="preserve"> </w:t>
      </w:r>
      <w:hyperlink r:id="rId21">
        <w:r>
          <w:rPr>
            <w:rStyle w:val="Hyperlink"/>
          </w:rPr>
          <w:t xml:space="preserve">[16]</w:t>
        </w:r>
      </w:hyperlink>
    </w:p>
    <w:bookmarkEnd w:id="32"/>
    <w:bookmarkEnd w:id="33"/>
    <w:bookmarkStart w:id="40" w:name="X0b75eaa48ded0f83fa2acd9b4f8f1e75a375467"/>
    <w:p>
      <w:pPr>
        <w:pStyle w:val="Heading2"/>
      </w:pPr>
      <w:r>
        <w:t xml:space="preserve">Nettdagligvare og alternative distribusjonsmodeller i Norden</w:t>
      </w:r>
    </w:p>
    <w:bookmarkStart w:id="36" w:name="mat.se17-og-mathem18"/>
    <w:p>
      <w:pPr>
        <w:pStyle w:val="Heading3"/>
      </w:pPr>
      <w:r>
        <w:t xml:space="preserve">Mat.se</w:t>
      </w:r>
      <w:hyperlink r:id="rId28">
        <w:r>
          <w:rPr>
            <w:rStyle w:val="Hyperlink"/>
          </w:rPr>
          <w:t xml:space="preserve">[17]</w:t>
        </w:r>
      </w:hyperlink>
      <w:r>
        <w:t xml:space="preserve"> </w:t>
      </w:r>
      <w:r>
        <w:t xml:space="preserve">og Mathem</w:t>
      </w:r>
      <w:hyperlink r:id="rId34">
        <w:r>
          <w:rPr>
            <w:rStyle w:val="Hyperlink"/>
          </w:rPr>
          <w:t xml:space="preserve">[18]</w:t>
        </w:r>
      </w:hyperlink>
    </w:p>
    <w:p>
      <w:pPr>
        <w:pStyle w:val="FirstParagraph"/>
      </w:pPr>
      <w:r>
        <w:t xml:space="preserve">I Sverige</w:t>
      </w:r>
      <w:hyperlink r:id="rId22">
        <w:r>
          <w:rPr>
            <w:rStyle w:val="Hyperlink"/>
          </w:rPr>
          <w:t xml:space="preserve">[19]</w:t>
        </w:r>
      </w:hyperlink>
      <w:r>
        <w:t xml:space="preserve"> </w:t>
      </w:r>
      <w:r>
        <w:t xml:space="preserve">er dette det tydeligste caset på at nettdagligvare ikke først og fremst er et markedsføringsproblem, men et throughput- og kapitaleffektivitetsproblem. Først måtte Mat.se inn i en fusjon med</w:t>
      </w:r>
      <w:r>
        <w:t xml:space="preserve"> </w:t>
      </w:r>
      <w:r>
        <w:rPr>
          <w:b/>
          <w:bCs/>
        </w:rPr>
        <w:t xml:space="preserve">Mathem</w:t>
      </w:r>
      <w:hyperlink r:id="rId34">
        <w:r>
          <w:rPr>
            <w:rStyle w:val="Hyperlink"/>
            <w:b/>
            <w:bCs/>
          </w:rPr>
          <w:t xml:space="preserve">[18]</w:t>
        </w:r>
      </w:hyperlink>
      <w:r>
        <w:t xml:space="preserve"> </w:t>
      </w:r>
      <w:r>
        <w:t xml:space="preserve">i 2021, der forelderen</w:t>
      </w:r>
      <w:r>
        <w:t xml:space="preserve"> </w:t>
      </w:r>
      <w:r>
        <w:rPr>
          <w:b/>
          <w:bCs/>
        </w:rPr>
        <w:t xml:space="preserve">Axfood</w:t>
      </w:r>
      <w:hyperlink r:id="rId34">
        <w:r>
          <w:rPr>
            <w:rStyle w:val="Hyperlink"/>
            <w:b/>
            <w:bCs/>
          </w:rPr>
          <w:t xml:space="preserve">[20]</w:t>
        </w:r>
      </w:hyperlink>
      <w:r>
        <w:t xml:space="preserve"> </w:t>
      </w:r>
      <w:r>
        <w:t xml:space="preserve">byttet bort Mat.se mot eierandeler i Mathem, samtidig som Mathem inngikk en langsiktig leveranseavtale med grossisten</w:t>
      </w:r>
      <w:r>
        <w:t xml:space="preserve"> </w:t>
      </w:r>
      <w:r>
        <w:rPr>
          <w:b/>
          <w:bCs/>
        </w:rPr>
        <w:t xml:space="preserve">Dagab</w:t>
      </w:r>
      <w:hyperlink r:id="rId35">
        <w:r>
          <w:rPr>
            <w:rStyle w:val="Hyperlink"/>
            <w:b/>
            <w:bCs/>
          </w:rPr>
          <w:t xml:space="preserve">[21]</w:t>
        </w:r>
      </w:hyperlink>
      <w:r>
        <w:t xml:space="preserve"> </w:t>
      </w:r>
      <w:r>
        <w:t xml:space="preserve">for å hente ut synergi og stordrift. I 2023 måtte Mathem videre inn i fusjon med</w:t>
      </w:r>
      <w:r>
        <w:t xml:space="preserve"> </w:t>
      </w:r>
      <w:r>
        <w:rPr>
          <w:b/>
          <w:bCs/>
        </w:rPr>
        <w:t xml:space="preserve">Oda</w:t>
      </w:r>
      <w:hyperlink r:id="rId22">
        <w:r>
          <w:rPr>
            <w:rStyle w:val="Hyperlink"/>
            <w:b/>
            <w:bCs/>
          </w:rPr>
          <w:t xml:space="preserve">[22]</w:t>
        </w:r>
      </w:hyperlink>
      <w:r>
        <w:t xml:space="preserve"> </w:t>
      </w:r>
      <w:r>
        <w:t xml:space="preserve">for å styrke langsiktig konkurransekraft og effektivitet. I 2024 søkte Mathem om foretaksrekonstruksjon, og begrunnet det med en stor kostnadsbase som stammet fra tidligere hypertvekst; samtidig ble lagerdriften i Göteborg og Malmö flyttet til det automatiserte lageret i Larsboda.</w:t>
      </w:r>
      <w:r>
        <w:t xml:space="preserve"> </w:t>
      </w:r>
      <w:hyperlink r:id="rId31">
        <w:r>
          <w:rPr>
            <w:rStyle w:val="Hyperlink"/>
          </w:rPr>
          <w:t xml:space="preserve">[23]</w:t>
        </w:r>
      </w:hyperlink>
    </w:p>
    <w:p>
      <w:pPr>
        <w:pStyle w:val="BodyText"/>
      </w:pPr>
      <w:r>
        <w:t xml:space="preserve">Den sannsynlige hovedårsaken var at standalone-modellen for ren hjemlevering av dagligvarer ikke ga bærekraftig økonomi raskt nok. Pris var viktig, men indirekte: når hele varekurven skal plukkes, kjøles, pakkes og kjøres hjem, blir hver prosent i bruttofortjeneste og hver levering kritisk. Logistikk var helt avgjørende; derfor handlet redningsplanen ikke primært om markedsføring, men om å sentralisere plukk og øke automasjonsutnyttelsen. Eiendom og anlegg spilte stor rolle, fordi store lager og automasjon er tunge faste kostnader som først lønner seg ved høy og stabil gjennomstrømning. Regulering fremstår som sekundært i de tilgjengelige kildene. Markedskonsentrasjon spilte likevel inn gjennom avhengigheten av samarbeid med en etablert grossist og behovet for nordisk konsolidering. Forbrukeratferd spilte inn ved at hjemlevering er attraktivt, men ikke nødvendigvis attraktivt nok til å bære de reelle kostnadene i stor skala. Kapital var kanskje den mest synlige barrieren av alle: modellen krevde flere fusjoner, flere finansielle re-starter og til slutt rekonstruksjon.</w:t>
      </w:r>
      <w:r>
        <w:t xml:space="preserve"> </w:t>
      </w:r>
      <w:hyperlink r:id="rId22">
        <w:r>
          <w:rPr>
            <w:rStyle w:val="Hyperlink"/>
          </w:rPr>
          <w:t xml:space="preserve">[24]</w:t>
        </w:r>
      </w:hyperlink>
    </w:p>
    <w:p>
      <w:pPr>
        <w:pStyle w:val="BodyText"/>
      </w:pPr>
      <w:r>
        <w:t xml:space="preserve">Det viktigste dette caset sier om nordiske matsystemer, er at nettdagligvare ikke bryter de gamle barrierene; den flytter dem bare. I stedet for å tape på butikknett og tomter, taper man på plukkhastighet, rutetetthet, lagerutnyttelse og kostnaden ved kapital bundet i automasjon og vareflyt.</w:t>
      </w:r>
      <w:r>
        <w:t xml:space="preserve"> </w:t>
      </w:r>
      <w:hyperlink r:id="rId22">
        <w:r>
          <w:rPr>
            <w:rStyle w:val="Hyperlink"/>
          </w:rPr>
          <w:t xml:space="preserve">[25]</w:t>
        </w:r>
      </w:hyperlink>
    </w:p>
    <w:bookmarkEnd w:id="36"/>
    <w:bookmarkStart w:id="37" w:name="coop.dk-mad26"/>
    <w:p>
      <w:pPr>
        <w:pStyle w:val="Heading3"/>
      </w:pPr>
      <w:r>
        <w:t xml:space="preserve">Coop.dk MAD</w:t>
      </w:r>
      <w:hyperlink r:id="rId30">
        <w:r>
          <w:rPr>
            <w:rStyle w:val="Hyperlink"/>
          </w:rPr>
          <w:t xml:space="preserve">[26]</w:t>
        </w:r>
      </w:hyperlink>
    </w:p>
    <w:p>
      <w:pPr>
        <w:pStyle w:val="FirstParagraph"/>
      </w:pPr>
      <w:r>
        <w:t xml:space="preserve">I Danmark</w:t>
      </w:r>
      <w:hyperlink r:id="rId21">
        <w:r>
          <w:rPr>
            <w:rStyle w:val="Hyperlink"/>
          </w:rPr>
          <w:t xml:space="preserve">[27]</w:t>
        </w:r>
      </w:hyperlink>
      <w:r>
        <w:t xml:space="preserve"> </w:t>
      </w:r>
      <w:r>
        <w:t xml:space="preserve">er Coop.dk MAD et rent case på en alternativ distribusjonsmodell som strandet. Coop Danmark besluttet i 2023 å stanse tjenesten etter ti år med hjemlevering av dagligvarer over hele landet. I selskapets egen begrunnelse heter det at modellen hadde gått med underskudd i alle år og at ingen ennå hadde funnet en økonomisk bærekraftig forretningsmodell for online-supermarkeder.</w:t>
      </w:r>
      <w:r>
        <w:t xml:space="preserve"> </w:t>
      </w:r>
      <w:hyperlink r:id="rId34">
        <w:r>
          <w:rPr>
            <w:rStyle w:val="Hyperlink"/>
          </w:rPr>
          <w:t xml:space="preserve">[28]</w:t>
        </w:r>
      </w:hyperlink>
    </w:p>
    <w:p>
      <w:pPr>
        <w:pStyle w:val="BodyText"/>
      </w:pPr>
      <w:r>
        <w:t xml:space="preserve">Her er hovedårsaken ganske eksplisitt: modelløkonomien holdt ikke. Pris spilte en tydelig rolle, fordi kundene må oppleve leveransen som billig nok til å bruke den, mens selskapet samtidig må dekke plukk, distribusjon og sjåførkostnader. Logistikk var den sentrale flaskehalsen; NHHs oppsummering av caset peker på mangel på volum og lønnsomhet, og på at store sentrallagre kan legge inn et ekstra og kostbart ledd mellom vare og kunde. Eiendom spilte også en håndfast rolle, fordi lagerbygninger og leiekontrakter ble avviklet. Regulering og arbeidslivsvilkår spilte inn gjennom Coops egen understrekning av at det var vanskelig å forsvare fortsatt massiv investering i en modell som også skulle driftes med ordnede forhold og tariffdekning for sjåførene. Markedskonsentrasjon spilte mer indirekte inn; en stor etablert aktør kunne rett og slett velge å avvikle modellen og prioritere andre kanaler. Forbrukeratferd var også viktig: da pandemieffekten avtok, ble det igjen tydelig hvor mange som fortsatt foretrekker butikkhandel. Kapital var til stede, men ikke i en form som legitimerte varige underskudd.</w:t>
      </w:r>
      <w:r>
        <w:t xml:space="preserve"> </w:t>
      </w:r>
      <w:hyperlink r:id="rId34">
        <w:r>
          <w:rPr>
            <w:rStyle w:val="Hyperlink"/>
          </w:rPr>
          <w:t xml:space="preserve">[29]</w:t>
        </w:r>
      </w:hyperlink>
    </w:p>
    <w:p>
      <w:pPr>
        <w:pStyle w:val="BodyText"/>
      </w:pPr>
      <w:r>
        <w:t xml:space="preserve">Caset er særlig verdifullt fordi det viser at dette ikke bare er et startup-problem. Hvis en etablert kooperativ gigant ikke får warehouse-basert hjemlevering til å gå opp etter ti år, er terskelen for en ny, uavhengig utfordrer enda høyere.</w:t>
      </w:r>
      <w:r>
        <w:t xml:space="preserve"> </w:t>
      </w:r>
      <w:hyperlink r:id="rId34">
        <w:r>
          <w:rPr>
            <w:rStyle w:val="Hyperlink"/>
          </w:rPr>
          <w:t xml:space="preserve">[30]</w:t>
        </w:r>
      </w:hyperlink>
    </w:p>
    <w:bookmarkEnd w:id="37"/>
    <w:bookmarkStart w:id="39" w:name="foodora31-i-finland-som-plattformsignal"/>
    <w:p>
      <w:pPr>
        <w:pStyle w:val="Heading3"/>
      </w:pPr>
      <w:r>
        <w:t xml:space="preserve">Foodora</w:t>
      </w:r>
      <w:hyperlink r:id="rId26">
        <w:r>
          <w:rPr>
            <w:rStyle w:val="Hyperlink"/>
          </w:rPr>
          <w:t xml:space="preserve">[31]</w:t>
        </w:r>
      </w:hyperlink>
      <w:r>
        <w:t xml:space="preserve"> </w:t>
      </w:r>
      <w:r>
        <w:t xml:space="preserve">i Finland som plattformsignal</w:t>
      </w:r>
    </w:p>
    <w:p>
      <w:pPr>
        <w:pStyle w:val="FirstParagraph"/>
      </w:pPr>
      <w:r>
        <w:t xml:space="preserve">I Finland</w:t>
      </w:r>
      <w:hyperlink r:id="rId30">
        <w:r>
          <w:rPr>
            <w:rStyle w:val="Hyperlink"/>
          </w:rPr>
          <w:t xml:space="preserve">[32]</w:t>
        </w:r>
      </w:hyperlink>
      <w:r>
        <w:t xml:space="preserve"> </w:t>
      </w:r>
      <w:r>
        <w:t xml:space="preserve">ga 2026 også et nyere signal om hvor krevende plattformbasert matdistribusjon kan være: Foodora varslet full stans i landet fra 28. februar 2026. Selskapets erklærte begrunnelse var at man ville investere i markeder der man hadde mulighet til å bli tydelig markedsleder og bygge et sterkt, langsiktig brand i Europa. Samtidig pekte Yle på at beslutningen kom i kjølvannet av en høyesterettsavgjørelse året før om at bud på Wolt-plattformen er ansatte, ikke selvstendige næringsdrivende. Dette er ikke et nettdagligvarecase i snever forstand, men det styrker mønsteret fra Coop.dk MAD og Mathem: alternative distribusjonsmodeller blir sårbare når skala, arbeidskostnader og markedsledelse ikke går opp samtidig.</w:t>
      </w:r>
      <w:r>
        <w:t xml:space="preserve"> </w:t>
      </w:r>
      <w:hyperlink r:id="rId38">
        <w:r>
          <w:rPr>
            <w:rStyle w:val="Hyperlink"/>
          </w:rPr>
          <w:t xml:space="preserve">[33]</w:t>
        </w:r>
      </w:hyperlink>
    </w:p>
    <w:bookmarkEnd w:id="39"/>
    <w:bookmarkEnd w:id="40"/>
    <w:bookmarkStart w:id="44" w:name="mindre-kjeder-og-regionale-utfordrere"/>
    <w:p>
      <w:pPr>
        <w:pStyle w:val="Heading2"/>
      </w:pPr>
      <w:r>
        <w:t xml:space="preserve">Mindre kjeder og regionale utfordrere</w:t>
      </w:r>
    </w:p>
    <w:bookmarkStart w:id="42" w:name="stockmann-delicatessen34"/>
    <w:p>
      <w:pPr>
        <w:pStyle w:val="Heading3"/>
      </w:pPr>
      <w:r>
        <w:t xml:space="preserve">Stockmann Delicatessen</w:t>
      </w:r>
      <w:hyperlink r:id="rId28">
        <w:r>
          <w:rPr>
            <w:rStyle w:val="Hyperlink"/>
          </w:rPr>
          <w:t xml:space="preserve">[34]</w:t>
        </w:r>
      </w:hyperlink>
    </w:p>
    <w:p>
      <w:pPr>
        <w:pStyle w:val="FirstParagraph"/>
      </w:pPr>
      <w:r>
        <w:t xml:space="preserve">Dette caset viser hva som skjer når et mindre premiumformat i mat mangler ryggraden til å stå alene. Da</w:t>
      </w:r>
      <w:r>
        <w:t xml:space="preserve"> </w:t>
      </w:r>
      <w:r>
        <w:rPr>
          <w:b/>
          <w:bCs/>
        </w:rPr>
        <w:t xml:space="preserve">Stockmann</w:t>
      </w:r>
      <w:hyperlink r:id="rId21">
        <w:r>
          <w:rPr>
            <w:rStyle w:val="Hyperlink"/>
            <w:b/>
            <w:bCs/>
          </w:rPr>
          <w:t xml:space="preserve">[35]</w:t>
        </w:r>
      </w:hyperlink>
      <w:r>
        <w:t xml:space="preserve"> </w:t>
      </w:r>
      <w:r>
        <w:t xml:space="preserve">solgte Stockmann Delicatessen til</w:t>
      </w:r>
      <w:r>
        <w:t xml:space="preserve"> </w:t>
      </w:r>
      <w:r>
        <w:rPr>
          <w:b/>
          <w:bCs/>
        </w:rPr>
        <w:t xml:space="preserve">S Group</w:t>
      </w:r>
      <w:hyperlink r:id="rId22">
        <w:r>
          <w:rPr>
            <w:rStyle w:val="Hyperlink"/>
            <w:b/>
            <w:bCs/>
          </w:rPr>
          <w:t xml:space="preserve">[36]</w:t>
        </w:r>
      </w:hyperlink>
      <w:r>
        <w:t xml:space="preserve"> </w:t>
      </w:r>
      <w:r>
        <w:t xml:space="preserve">i 2017, var begrunnelsen krystallklar: endringer i det finske markedet for matinnkjøp og logistikk hadde svekket konkurransekraften, Delicatessen hadde et driftsunderskudd på 11 millioner euro i 2016, og Stockmann ønsket å fokusere på fashion, beauty og home for å løfte lønnsomheten. Salget gjaldt seks butikker i finske varehus, mens butikkene i Baltikum ble beholdt fordi de var lønnsomme der.</w:t>
      </w:r>
      <w:r>
        <w:t xml:space="preserve"> </w:t>
      </w:r>
      <w:hyperlink r:id="rId41">
        <w:r>
          <w:rPr>
            <w:rStyle w:val="Hyperlink"/>
          </w:rPr>
          <w:t xml:space="preserve">[37]</w:t>
        </w:r>
      </w:hyperlink>
    </w:p>
    <w:p>
      <w:pPr>
        <w:pStyle w:val="BodyText"/>
      </w:pPr>
      <w:r>
        <w:t xml:space="preserve">Den sannsynlige hovedårsaken var altså for svak skala i innkjøp og logistikk, ikke at konseptet manglet kunder fullstendig. Pris spilte en rolle fordi et premiumtilbud må bære høyere kostnader og samtidig konkurrere i et marked dominert av store innkjøpsgrupper. Logistikk og innkjøp var eksplisitt hovedproblemet i Stockmanns egen forklaring. Eiendom var viktig, men ikke som barriere i seg selv: butikkene ble værende i de samme varehusene, og kjøperen ble leietaker eller fremleietaker i eksisterende lokaler. Regulering og markedskonsentrasjon kom til syne da den finske konkurransemyndigheten godkjente oppkjøpet med vilkår om at Herkku skulle fortsette å kjøpe fra Tuko ut 2018, og samtidig påpekte at markedet ble enda mer konsentrert, at S Groups andel ville overstige 40 prosent i flere lokale områder, og at det ikke hadde kommet nye operatører inn i markedet de siste årene. Forbrukeratferd spilte inn ved at et høykvalitetskonsept alene ikke kompenserte for strukturell kostnadsulempe. Kapital spilte inn ved at moderselskapet prioriterte porteføljeomlegging fremfor videre subsidiering av tapsgivende matdrift.</w:t>
      </w:r>
      <w:r>
        <w:t xml:space="preserve"> </w:t>
      </w:r>
      <w:hyperlink r:id="rId35">
        <w:r>
          <w:rPr>
            <w:rStyle w:val="Hyperlink"/>
          </w:rPr>
          <w:t xml:space="preserve">[38]</w:t>
        </w:r>
      </w:hyperlink>
    </w:p>
    <w:p>
      <w:pPr>
        <w:pStyle w:val="BodyText"/>
      </w:pPr>
      <w:r>
        <w:t xml:space="preserve">Caset sier at finske barrierer er mindre «dramatiske» enn de norske, men svært reelle: hvis man ikke har skala i food procurement og logistikk, blir selv et sterkt premiumbrand presset inn i armene på en større aktør.</w:t>
      </w:r>
      <w:r>
        <w:t xml:space="preserve"> </w:t>
      </w:r>
      <w:hyperlink r:id="rId41">
        <w:r>
          <w:rPr>
            <w:rStyle w:val="Hyperlink"/>
          </w:rPr>
          <w:t xml:space="preserve">[39]</w:t>
        </w:r>
      </w:hyperlink>
    </w:p>
    <w:bookmarkEnd w:id="42"/>
    <w:bookmarkStart w:id="43" w:name="irma40"/>
    <w:p>
      <w:pPr>
        <w:pStyle w:val="Heading3"/>
      </w:pPr>
      <w:r>
        <w:t xml:space="preserve">Irma</w:t>
      </w:r>
      <w:hyperlink r:id="rId28">
        <w:r>
          <w:rPr>
            <w:rStyle w:val="Hyperlink"/>
          </w:rPr>
          <w:t xml:space="preserve">[40]</w:t>
        </w:r>
      </w:hyperlink>
    </w:p>
    <w:p>
      <w:pPr>
        <w:pStyle w:val="FirstParagraph"/>
      </w:pPr>
      <w:r>
        <w:t xml:space="preserve">Irma er ikke et nykommercase, men det er kanskje det tydeligste nordiske eksemplet på en regional premiumutfordrer som ikke lenger kunne stå på egne ben. Da</w:t>
      </w:r>
      <w:r>
        <w:t xml:space="preserve"> </w:t>
      </w:r>
      <w:r>
        <w:rPr>
          <w:b/>
          <w:bCs/>
        </w:rPr>
        <w:t xml:space="preserve">Coop Danmark</w:t>
      </w:r>
      <w:hyperlink r:id="rId34">
        <w:r>
          <w:rPr>
            <w:rStyle w:val="Hyperlink"/>
            <w:b/>
            <w:bCs/>
          </w:rPr>
          <w:t xml:space="preserve">[41]</w:t>
        </w:r>
      </w:hyperlink>
      <w:r>
        <w:t xml:space="preserve"> </w:t>
      </w:r>
      <w:r>
        <w:t xml:space="preserve">lanserte strategien «Fremtidens Coop» i 2023, var budskapet at Irma hadde hatt underskudd i en årrekke, at selv de mest lojale kundene handlet like mye i discount som i Irma, og at markedsgrunnlaget for kjeden som selvstendig format ikke lenger var til stede. Av 65 butikker ble 9 flyttet til ny Coop-kjede, 28 til 365discount, 11 til Brugsen og 17 ble lukket. Coop la også vekt på at kjeden var blitt for liten til å utvikle unike varer i tilstrekkelig omfang.</w:t>
      </w:r>
      <w:r>
        <w:t xml:space="preserve"> </w:t>
      </w:r>
      <w:hyperlink r:id="rId34">
        <w:r>
          <w:rPr>
            <w:rStyle w:val="Hyperlink"/>
          </w:rPr>
          <w:t xml:space="preserve">[42]</w:t>
        </w:r>
      </w:hyperlink>
    </w:p>
    <w:p>
      <w:pPr>
        <w:pStyle w:val="BodyText"/>
      </w:pPr>
      <w:r>
        <w:t xml:space="preserve">Den uttalte hovedårsaken var derfor kombinasjonen av vedvarende underskudd og en tydelig forbrukerbevegelse mot lavpris. Pris var helt sentralt. Logistikk og produktutvikling spilte inn fordi små kjeder får svakere skala i egne premium- og nisjevarer. Eiendom var sekundært; lokasjonene var åpenbart verdifulle nok til å bli omprofilert til andre konsepter, så problemet lå i formatøkonomien, ikke i adressene. Regulering spilte liten direkte rolle. Markedskonsentrasjon spilte indirekte inn ved at konkurransen om kundene i praksis ble stadig mer formet av store discountkjeder og strengere kjedeforenkling. Forbrukeratferd var den mest synlige driveren: selv lojale kunder flyttet handlemønsteret sitt mot billigere kanaler. Kapital spilte inn fordi Coop valgte å prioritere enklere og mer effektiv kjedestruktur fremfor å fortsette å bære Irmas tap.</w:t>
      </w:r>
      <w:r>
        <w:t xml:space="preserve"> </w:t>
      </w:r>
      <w:hyperlink r:id="rId34">
        <w:r>
          <w:rPr>
            <w:rStyle w:val="Hyperlink"/>
          </w:rPr>
          <w:t xml:space="preserve">[43]</w:t>
        </w:r>
      </w:hyperlink>
    </w:p>
    <w:p>
      <w:pPr>
        <w:pStyle w:val="BodyText"/>
      </w:pPr>
      <w:r>
        <w:t xml:space="preserve">Caset sier at i høykost-Norden er et sterkt brand og høy emosjonell lojalitet ikke nok hvis betalingsviljen i hverdagskurven sklir mot discount. Et regionalt eller premiumdrevet format må enten ha nok skala til å forsvare særpreget, eller finne en kundeoppgave som discount ikke kan løse like godt.</w:t>
      </w:r>
      <w:r>
        <w:t xml:space="preserve"> </w:t>
      </w:r>
      <w:hyperlink r:id="rId34">
        <w:r>
          <w:rPr>
            <w:rStyle w:val="Hyperlink"/>
          </w:rPr>
          <w:t xml:space="preserve">[44]</w:t>
        </w:r>
      </w:hyperlink>
    </w:p>
    <w:bookmarkEnd w:id="43"/>
    <w:bookmarkEnd w:id="44"/>
    <w:bookmarkStart w:id="45" w:name="X417630c1baf99881dd60b9158c9d9b1927fe92b"/>
    <w:p>
      <w:pPr>
        <w:pStyle w:val="Heading2"/>
      </w:pPr>
      <w:r>
        <w:t xml:space="preserve">Hva casene forteller om barrierer i nordiske matsystemer</w:t>
      </w:r>
    </w:p>
    <w:p>
      <w:pPr>
        <w:pStyle w:val="FirstParagraph"/>
      </w:pPr>
      <w:r>
        <w:t xml:space="preserve">Det første casene viser, er at</w:t>
      </w:r>
      <w:r>
        <w:t xml:space="preserve"> </w:t>
      </w:r>
      <w:r>
        <w:rPr>
          <w:b/>
          <w:bCs/>
        </w:rPr>
        <w:t xml:space="preserve">volum ikke bare er en fordel; det er en adgangsbillett</w:t>
      </w:r>
      <w:r>
        <w:t xml:space="preserve">. Norske myndigheter har over tid pekt på ulikheter i innkjøpsbetingelser som en av de mest sentrale etableringshindringene for nye kjeder, og både ICA Norge og Stockmann Delicatessen illustrerer hva som skjer når en aktør er stor nok til å være synlig for kundene, men for liten til å være like sterk i forhandlinger, vareflyt og faste kostnader som de største.</w:t>
      </w:r>
      <w:r>
        <w:t xml:space="preserve"> </w:t>
      </w:r>
      <w:hyperlink r:id="rId28">
        <w:r>
          <w:rPr>
            <w:rStyle w:val="Hyperlink"/>
          </w:rPr>
          <w:t xml:space="preserve">[45]</w:t>
        </w:r>
      </w:hyperlink>
    </w:p>
    <w:p>
      <w:pPr>
        <w:pStyle w:val="BodyText"/>
      </w:pPr>
      <w:r>
        <w:t xml:space="preserve">Det andre er at</w:t>
      </w:r>
      <w:r>
        <w:t xml:space="preserve"> </w:t>
      </w:r>
      <w:r>
        <w:rPr>
          <w:b/>
          <w:bCs/>
        </w:rPr>
        <w:t xml:space="preserve">distribusjon i mat ikke er «bare logistikk»</w:t>
      </w:r>
      <w:r>
        <w:t xml:space="preserve">. I nettdagligvare og hjemlevering blir plukk, kjølekjede, leveringspresisjon og rutetetthet selve forretningsmodellen. Mathem måtte sentralisere og automatisere for å få ned kostnadsbasen; Coop.dk MAD måtte stenge fordi modellen aldri ble bærekraftig; og danske observatører pekte eksplisitt på at sentrallageret kan bli et ekstra og dyrt mellomledd snarere enn en effektiviseringsmotor.</w:t>
      </w:r>
      <w:r>
        <w:t xml:space="preserve"> </w:t>
      </w:r>
      <w:hyperlink r:id="rId22">
        <w:r>
          <w:rPr>
            <w:rStyle w:val="Hyperlink"/>
          </w:rPr>
          <w:t xml:space="preserve">[46]</w:t>
        </w:r>
      </w:hyperlink>
    </w:p>
    <w:p>
      <w:pPr>
        <w:pStyle w:val="BodyText"/>
      </w:pPr>
      <w:r>
        <w:t xml:space="preserve">Det tredje er at</w:t>
      </w:r>
      <w:r>
        <w:t xml:space="preserve"> </w:t>
      </w:r>
      <w:r>
        <w:rPr>
          <w:b/>
          <w:bCs/>
        </w:rPr>
        <w:t xml:space="preserve">forbrukeratferd i Norden er mer todelt enn mange utfordrere antar</w:t>
      </w:r>
      <w:r>
        <w:t xml:space="preserve">. Forbrukerne sier ofte at de vil ha kvalitet, bærekraft og bekvemmelighet, men i handlekurven vinner ofte lavpris, lokal tilpasning og kjente vaner. Det er kjernen i hvorfor Irma ble for liten, hvorfor Lidl ikke fikk trekkraft i Norge, og hvorfor hjemlevering sliter når kostnaden må løftes frem for kunden.</w:t>
      </w:r>
      <w:r>
        <w:t xml:space="preserve"> </w:t>
      </w:r>
      <w:hyperlink r:id="rId34">
        <w:r>
          <w:rPr>
            <w:rStyle w:val="Hyperlink"/>
          </w:rPr>
          <w:t xml:space="preserve">[47]</w:t>
        </w:r>
      </w:hyperlink>
    </w:p>
    <w:p>
      <w:pPr>
        <w:pStyle w:val="BodyText"/>
      </w:pPr>
      <w:r>
        <w:t xml:space="preserve">Det fjerde er at</w:t>
      </w:r>
      <w:r>
        <w:t xml:space="preserve"> </w:t>
      </w:r>
      <w:r>
        <w:rPr>
          <w:b/>
          <w:bCs/>
        </w:rPr>
        <w:t xml:space="preserve">Norge har en ekstra systembarriere</w:t>
      </w:r>
      <w:r>
        <w:t xml:space="preserve"> </w:t>
      </w:r>
      <w:r>
        <w:t xml:space="preserve">som ikke finnes i samme styrke i Sverige, Danmark og Finland: tollvernet og den landbrukspolitiske skjermingen. Det gjør ikke bare mat dyrere; det gjør også markedet mer lukket, øker leverandørkonsentrasjonen og reduserer verdien av internasjonal innkjøpsmakt for utenlandske eller nye konsepter. Derfor er Norge både et markeds- og et policycase, mens de andre nordiske landene oftere er rene format- og økonomicase.</w:t>
      </w:r>
      <w:r>
        <w:t xml:space="preserve"> </w:t>
      </w:r>
      <w:hyperlink r:id="rId30">
        <w:r>
          <w:rPr>
            <w:rStyle w:val="Hyperlink"/>
          </w:rPr>
          <w:t xml:space="preserve">[48]</w:t>
        </w:r>
      </w:hyperlink>
    </w:p>
    <w:bookmarkEnd w:id="45"/>
    <w:bookmarkStart w:id="46" w:name="typologi-over-entry-barriers"/>
    <w:p>
      <w:pPr>
        <w:pStyle w:val="Heading2"/>
      </w:pPr>
      <w:r>
        <w:t xml:space="preserve">Typologi over entry barriers</w:t>
      </w:r>
    </w:p>
    <w:p>
      <w:pPr>
        <w:numPr>
          <w:ilvl w:val="0"/>
          <w:numId w:val="1001"/>
        </w:numPr>
      </w:pPr>
      <w:r>
        <w:rPr>
          <w:b/>
          <w:bCs/>
        </w:rPr>
        <w:t xml:space="preserve">Innkjøpsmaktbarrieren.</w:t>
      </w:r>
      <w:r>
        <w:t xml:space="preserve"> </w:t>
      </w:r>
      <w:r>
        <w:t xml:space="preserve">Nye og mellomstore aktører får svakere betingelser enn de største, eller må kjøpe seg tilgang til dem gjennom samarbeid, fusjon eller grossistavtaler. Det var synlig i Norge generelt, i ICA-caset og i Stockmann Delicatessen.</w:t>
      </w:r>
      <w:r>
        <w:t xml:space="preserve"> </w:t>
      </w:r>
      <w:hyperlink r:id="rId28">
        <w:r>
          <w:rPr>
            <w:rStyle w:val="Hyperlink"/>
          </w:rPr>
          <w:t xml:space="preserve">[49]</w:t>
        </w:r>
      </w:hyperlink>
    </w:p>
    <w:p>
      <w:pPr>
        <w:numPr>
          <w:ilvl w:val="0"/>
          <w:numId w:val="1001"/>
        </w:numPr>
      </w:pPr>
      <w:r>
        <w:rPr>
          <w:b/>
          <w:bCs/>
        </w:rPr>
        <w:t xml:space="preserve">Grossist- og logistikkbarrieren.</w:t>
      </w:r>
      <w:r>
        <w:t xml:space="preserve"> </w:t>
      </w:r>
      <w:r>
        <w:t xml:space="preserve">Dagligvare krever høy utnyttelse av lager, plukk og transport for å bli lønnsomt. Mathem, Coop.dk MAD og andre hjemleveringsforsøk viser at dette er like mye en industriell som en digital utfordring.</w:t>
      </w:r>
      <w:r>
        <w:t xml:space="preserve"> </w:t>
      </w:r>
      <w:hyperlink r:id="rId22">
        <w:r>
          <w:rPr>
            <w:rStyle w:val="Hyperlink"/>
          </w:rPr>
          <w:t xml:space="preserve">[46]</w:t>
        </w:r>
      </w:hyperlink>
    </w:p>
    <w:p>
      <w:pPr>
        <w:numPr>
          <w:ilvl w:val="0"/>
          <w:numId w:val="1001"/>
        </w:numPr>
      </w:pPr>
      <w:r>
        <w:rPr>
          <w:b/>
          <w:bCs/>
        </w:rPr>
        <w:t xml:space="preserve">Lokalitets- og eiendomsbarrieren.</w:t>
      </w:r>
      <w:r>
        <w:t xml:space="preserve"> </w:t>
      </w:r>
      <w:r>
        <w:t xml:space="preserve">Tilgang til gode butikklokaler, lagerpunkter og distribusjonsnoder er knapp, og etablerte aktører kan ofte absorbere slike lokasjoner raskt når en utfordrer faller ut. Norske myndigheter har pekt på lokaler som en sentral etableringshindring.</w:t>
      </w:r>
      <w:r>
        <w:t xml:space="preserve"> </w:t>
      </w:r>
      <w:hyperlink r:id="rId28">
        <w:r>
          <w:rPr>
            <w:rStyle w:val="Hyperlink"/>
          </w:rPr>
          <w:t xml:space="preserve">[50]</w:t>
        </w:r>
      </w:hyperlink>
    </w:p>
    <w:p>
      <w:pPr>
        <w:numPr>
          <w:ilvl w:val="0"/>
          <w:numId w:val="1001"/>
        </w:numPr>
      </w:pPr>
      <w:r>
        <w:rPr>
          <w:b/>
          <w:bCs/>
        </w:rPr>
        <w:t xml:space="preserve">Reguleringsbarrieren.</w:t>
      </w:r>
      <w:r>
        <w:t xml:space="preserve"> </w:t>
      </w:r>
      <w:r>
        <w:t xml:space="preserve">I Norge består den særlig av tollvern og markedsregulering i landbruket; i plattformøkonomien kan også arbeidsrett og klassifisering av bud påvirke kostnadsbildet. Regulering er ikke hele forklaringen, men den kan gjøre et allerede vanskelig marked enda vanskeligere.</w:t>
      </w:r>
      <w:r>
        <w:t xml:space="preserve"> </w:t>
      </w:r>
      <w:hyperlink r:id="rId30">
        <w:r>
          <w:rPr>
            <w:rStyle w:val="Hyperlink"/>
          </w:rPr>
          <w:t xml:space="preserve">[51]</w:t>
        </w:r>
      </w:hyperlink>
    </w:p>
    <w:p>
      <w:pPr>
        <w:numPr>
          <w:ilvl w:val="0"/>
          <w:numId w:val="1001"/>
        </w:numPr>
      </w:pPr>
      <w:r>
        <w:rPr>
          <w:b/>
          <w:bCs/>
        </w:rPr>
        <w:t xml:space="preserve">Etterspørsels- og vanebarrieren.</w:t>
      </w:r>
      <w:r>
        <w:t xml:space="preserve"> </w:t>
      </w:r>
      <w:r>
        <w:t xml:space="preserve">Kundene må oppleve at nytt format gir en stor nok gevinst i pris, kvalitet eller bekvemmelighet. Når forskjellen blir for uklar, drifter volum tilbake til discount eller etablerte handlevaner.</w:t>
      </w:r>
      <w:r>
        <w:t xml:space="preserve"> </w:t>
      </w:r>
      <w:hyperlink r:id="rId34">
        <w:r>
          <w:rPr>
            <w:rStyle w:val="Hyperlink"/>
          </w:rPr>
          <w:t xml:space="preserve">[47]</w:t>
        </w:r>
      </w:hyperlink>
    </w:p>
    <w:p>
      <w:pPr>
        <w:numPr>
          <w:ilvl w:val="0"/>
          <w:numId w:val="1001"/>
        </w:numPr>
      </w:pPr>
      <w:r>
        <w:rPr>
          <w:b/>
          <w:bCs/>
        </w:rPr>
        <w:t xml:space="preserve">Konsentrasjons- og motreaksjonsbarrieren.</w:t>
      </w:r>
      <w:r>
        <w:t xml:space="preserve"> </w:t>
      </w:r>
      <w:r>
        <w:t xml:space="preserve">Når få store grupper dominerer markedet, kan de sette premissene for pris, sortiment, distribusjon og lokasjonsbruk. Det gjør det vanskeligere å vokse til «mellomstørrelse».</w:t>
      </w:r>
      <w:r>
        <w:t xml:space="preserve"> </w:t>
      </w:r>
      <w:hyperlink r:id="rId21">
        <w:r>
          <w:rPr>
            <w:rStyle w:val="Hyperlink"/>
          </w:rPr>
          <w:t xml:space="preserve">[52]</w:t>
        </w:r>
      </w:hyperlink>
    </w:p>
    <w:p>
      <w:pPr>
        <w:numPr>
          <w:ilvl w:val="0"/>
          <w:numId w:val="1001"/>
        </w:numPr>
      </w:pPr>
      <w:r>
        <w:rPr>
          <w:b/>
          <w:bCs/>
        </w:rPr>
        <w:t xml:space="preserve">Kapital- og utholdenhetsbarrieren.</w:t>
      </w:r>
      <w:r>
        <w:t xml:space="preserve"> </w:t>
      </w:r>
      <w:r>
        <w:t xml:space="preserve">Mange av modellene feiler ikke fordi idéen er absurd, men fordi læringskurven er lang og faste kostnader kommer før tilstrekkelig volum. Mathem er det klareste eksemplet, men også ICA, Lidl, Irma og Stockmann illustrerer hvordan eiere til slutt slutter å finansiere veien mot skala.</w:t>
      </w:r>
      <w:r>
        <w:t xml:space="preserve"> </w:t>
      </w:r>
      <w:hyperlink r:id="rId22">
        <w:r>
          <w:rPr>
            <w:rStyle w:val="Hyperlink"/>
          </w:rPr>
          <w:t xml:space="preserve">[53]</w:t>
        </w:r>
      </w:hyperlink>
    </w:p>
    <w:bookmarkEnd w:id="46"/>
    <w:bookmarkStart w:id="47" w:name="X113ab3d820abcd47839aaf004381a6246d05db6"/>
    <w:p>
      <w:pPr>
        <w:pStyle w:val="Heading2"/>
      </w:pPr>
      <w:r>
        <w:t xml:space="preserve">Hva som må til for at en ny modell faktisk skal lykkes</w:t>
      </w:r>
    </w:p>
    <w:p>
      <w:pPr>
        <w:pStyle w:val="FirstParagraph"/>
      </w:pPr>
      <w:r>
        <w:t xml:space="preserve">Det som fremstår mest lovende i lys av casene, er ikke en modell som prøver å eie hele verdikjeden fra dag én, men en modell som</w:t>
      </w:r>
      <w:r>
        <w:t xml:space="preserve"> </w:t>
      </w:r>
      <w:r>
        <w:rPr>
          <w:b/>
          <w:bCs/>
        </w:rPr>
        <w:t xml:space="preserve">låner skala</w:t>
      </w:r>
      <w:r>
        <w:t xml:space="preserve">. I praksis betyr det tilgang til grossist- eller innkjøpsryggrad, en kapitallett måte å bruke eksisterende noder på, og en sortimentsstrategi som er lokalt troverdig. Mathem måtte ha avtale med Dagab og senere fusjonere videre; norske myndigheter peker eksplisitt på bedre tilgang til grossisttjenester som et mulig virkemiddel mot etableringshindringer; og Lidl lyktes bedre i Finland da lokal tilpasning ble tatt langt mer alvorlig.</w:t>
      </w:r>
      <w:r>
        <w:t xml:space="preserve"> </w:t>
      </w:r>
      <w:hyperlink r:id="rId31">
        <w:r>
          <w:rPr>
            <w:rStyle w:val="Hyperlink"/>
          </w:rPr>
          <w:t xml:space="preserve">[54]</w:t>
        </w:r>
      </w:hyperlink>
    </w:p>
    <w:p>
      <w:pPr>
        <w:pStyle w:val="BodyText"/>
      </w:pPr>
      <w:r>
        <w:t xml:space="preserve">Videre må modellen være</w:t>
      </w:r>
      <w:r>
        <w:t xml:space="preserve"> </w:t>
      </w:r>
      <w:r>
        <w:rPr>
          <w:b/>
          <w:bCs/>
        </w:rPr>
        <w:t xml:space="preserve">geografisk og operasjonelt smal i starten</w:t>
      </w:r>
      <w:r>
        <w:t xml:space="preserve">. Casene taler mot nasjonal utrulling før rutetetthet, plukkøkonomi og betalingsvilje er bevist i et avgrenset område. Warehouse-basert hjemlevering faller lett sammen når den bygges for stor før volumet er sikkert; premiumformater blir sårbare når de er for små til å holde oppe eget differensiert sortiment; og fullverdige kjedeutfordrere i Norge brenner mye kapital før de når innkjøpsmessig likevekt.</w:t>
      </w:r>
      <w:r>
        <w:t xml:space="preserve"> </w:t>
      </w:r>
      <w:hyperlink r:id="rId25">
        <w:r>
          <w:rPr>
            <w:rStyle w:val="Hyperlink"/>
          </w:rPr>
          <w:t xml:space="preserve">[55]</w:t>
        </w:r>
      </w:hyperlink>
    </w:p>
    <w:p>
      <w:pPr>
        <w:pStyle w:val="BodyText"/>
      </w:pPr>
      <w:r>
        <w:t xml:space="preserve">I et norsk spor må en ny modell sannsynligvis også</w:t>
      </w:r>
      <w:r>
        <w:t xml:space="preserve"> </w:t>
      </w:r>
      <w:r>
        <w:rPr>
          <w:b/>
          <w:bCs/>
        </w:rPr>
        <w:t xml:space="preserve">unngå frontalangrep på den nasjonale lavpriskurven</w:t>
      </w:r>
      <w:r>
        <w:t xml:space="preserve"> </w:t>
      </w:r>
      <w:r>
        <w:t xml:space="preserve">i kategorier som er mest skjermet av tollvern og etablerte grossiststrukturer. Mer realistiske innganger er derfor modeller som reduserer siste-mil-kostnad, bruker pickup eller partnerpunkter, bygger rundt lokalt eller regionalt attraktivt sortiment, eller begynner innenfor en tydelig kundeoppgave som de store kjedene løser middelmådig. Casene tilsier at «enda en fullskala kjede» er den minst lovende veien; «en smal modell med overlegen operasjon på ett sted» er langt mer plausibel.</w:t>
      </w:r>
      <w:r>
        <w:t xml:space="preserve"> </w:t>
      </w:r>
      <w:hyperlink r:id="rId30">
        <w:r>
          <w:rPr>
            <w:rStyle w:val="Hyperlink"/>
          </w:rPr>
          <w:t xml:space="preserve">[56]</w:t>
        </w:r>
      </w:hyperlink>
    </w:p>
    <w:bookmarkEnd w:id="47"/>
    <w:bookmarkStart w:id="49" w:name="Xe7a9c52854a9f1a94d3bd9b40d04446fb39e28b"/>
    <w:p>
      <w:pPr>
        <w:pStyle w:val="Heading2"/>
      </w:pPr>
      <w:r>
        <w:t xml:space="preserve">De mest relevante barrierene for Food Systems 2026 sitt pilotspor</w:t>
      </w:r>
    </w:p>
    <w:p>
      <w:pPr>
        <w:pStyle w:val="FirstParagraph"/>
      </w:pPr>
      <w:r>
        <w:t xml:space="preserve">For et pilotspor som skal teste en ny distribusjons- eller markedsmodell, er ikke alle barrierer like viktige fra start. De mest relevante er etter denne gjennomgangen følgende:</w:t>
      </w:r>
    </w:p>
    <w:p>
      <w:pPr>
        <w:numPr>
          <w:ilvl w:val="0"/>
          <w:numId w:val="1002"/>
        </w:numPr>
      </w:pPr>
      <w:r>
        <w:rPr>
          <w:b/>
          <w:bCs/>
        </w:rPr>
        <w:t xml:space="preserve">Tilgang til varer, grossistledd og sortimentsmotor.</w:t>
      </w:r>
      <w:r>
        <w:t xml:space="preserve"> </w:t>
      </w:r>
      <w:r>
        <w:t xml:space="preserve">Uten en troverdig måte å skaffe varer til konkurransedyktige betingelser på, blir piloten testet på feil ting: den blir et eksperiment i dårlig innkjøp, ikke i ny kunde- eller distribusjonslogikk. Dette er særlig viktig i Norge.</w:t>
      </w:r>
      <w:r>
        <w:t xml:space="preserve"> </w:t>
      </w:r>
      <w:hyperlink r:id="rId28">
        <w:r>
          <w:rPr>
            <w:rStyle w:val="Hyperlink"/>
          </w:rPr>
          <w:t xml:space="preserve">[57]</w:t>
        </w:r>
      </w:hyperlink>
    </w:p>
    <w:p>
      <w:pPr>
        <w:numPr>
          <w:ilvl w:val="0"/>
          <w:numId w:val="1002"/>
        </w:numPr>
      </w:pPr>
      <w:r>
        <w:rPr>
          <w:b/>
          <w:bCs/>
        </w:rPr>
        <w:t xml:space="preserve">Lokal logistikk og ordretetthet.</w:t>
      </w:r>
      <w:r>
        <w:t xml:space="preserve"> </w:t>
      </w:r>
      <w:r>
        <w:t xml:space="preserve">Piloten må vise at den kan plukke og levere med akseptabel kostnad i ett konkret område før den tenker skala. Det er dette Mathem og Coop.dk MAD viser tydeligst.</w:t>
      </w:r>
      <w:r>
        <w:t xml:space="preserve"> </w:t>
      </w:r>
      <w:hyperlink r:id="rId22">
        <w:r>
          <w:rPr>
            <w:rStyle w:val="Hyperlink"/>
          </w:rPr>
          <w:t xml:space="preserve">[46]</w:t>
        </w:r>
      </w:hyperlink>
    </w:p>
    <w:p>
      <w:pPr>
        <w:numPr>
          <w:ilvl w:val="0"/>
          <w:numId w:val="1002"/>
        </w:numPr>
      </w:pPr>
      <w:r>
        <w:rPr>
          <w:b/>
          <w:bCs/>
        </w:rPr>
        <w:t xml:space="preserve">Et pris- eller verdiforslag som er brutalt tydelig.</w:t>
      </w:r>
      <w:r>
        <w:t xml:space="preserve"> </w:t>
      </w:r>
      <w:r>
        <w:t xml:space="preserve">Hvis kunden ikke umiddelbart ser hvorfor løsningen er billigere, bedre eller enklere enn etablerte tilbud, vil volumet sive tilbake til discount eller eksisterende vaner. Lidl og Irma viser hvor nådeløs denne testen er.</w:t>
      </w:r>
      <w:r>
        <w:t xml:space="preserve"> </w:t>
      </w:r>
      <w:hyperlink r:id="rId48">
        <w:r>
          <w:rPr>
            <w:rStyle w:val="Hyperlink"/>
          </w:rPr>
          <w:t xml:space="preserve">[58]</w:t>
        </w:r>
      </w:hyperlink>
    </w:p>
    <w:p>
      <w:pPr>
        <w:numPr>
          <w:ilvl w:val="0"/>
          <w:numId w:val="1002"/>
        </w:numPr>
      </w:pPr>
      <w:r>
        <w:rPr>
          <w:b/>
          <w:bCs/>
        </w:rPr>
        <w:t xml:space="preserve">Kapital med streng disiplin.</w:t>
      </w:r>
      <w:r>
        <w:t xml:space="preserve"> </w:t>
      </w:r>
      <w:r>
        <w:t xml:space="preserve">Piloten trenger nok kapital til å overleve læring, men ikke så mye at den skjuler svake enhetsøkonomier. Mathem er et lærestykke i hvor dyrt «skala først, lønnsomhet senere» kan bli i mat.</w:t>
      </w:r>
      <w:r>
        <w:t xml:space="preserve"> </w:t>
      </w:r>
      <w:hyperlink r:id="rId22">
        <w:r>
          <w:rPr>
            <w:rStyle w:val="Hyperlink"/>
          </w:rPr>
          <w:t xml:space="preserve">[59]</w:t>
        </w:r>
      </w:hyperlink>
    </w:p>
    <w:p>
      <w:pPr>
        <w:numPr>
          <w:ilvl w:val="0"/>
          <w:numId w:val="1002"/>
        </w:numPr>
      </w:pPr>
      <w:r>
        <w:rPr>
          <w:b/>
          <w:bCs/>
        </w:rPr>
        <w:t xml:space="preserve">Regulatorisk eksponering.</w:t>
      </w:r>
      <w:r>
        <w:t xml:space="preserve"> </w:t>
      </w:r>
      <w:r>
        <w:t xml:space="preserve">Hvis pilotsporet berører tollfølsomme varekategorier, egne bud-/sjåførmodeller eller behov for tilgang til eksisterende grossistinfrastruktur, må dette håndteres fra dag én. Regulering er sjelden hele problemet, men kan være nok til å velte en ellers lovende modell.</w:t>
      </w:r>
      <w:r>
        <w:t xml:space="preserve"> </w:t>
      </w:r>
      <w:hyperlink r:id="rId30">
        <w:r>
          <w:rPr>
            <w:rStyle w:val="Hyperlink"/>
          </w:rPr>
          <w:t xml:space="preserve">[60]</w:t>
        </w:r>
      </w:hyperlink>
    </w:p>
    <w:p>
      <w:pPr>
        <w:pStyle w:val="FirstParagraph"/>
      </w:pPr>
      <w:r>
        <w:t xml:space="preserve">Det som fremstår mindre kritisk i en ren pilotfase, er landsdekkende butikknett og nasjonal merkevaretyngde. Casene tyder på at slike ting først blir nødvendige senere. I piloten er det viktigere å bevise at ett lokalt marked kan bære kombinasjonen av varetilgang, logistikk, pris og kundeverdi. Når det er bevist, kan skala diskuteres; før det, blir skala mest en måte å tape penger raskere på.</w:t>
      </w:r>
      <w:r>
        <w:t xml:space="preserve"> </w:t>
      </w:r>
      <w:hyperlink r:id="rId22">
        <w:r>
          <w:rPr>
            <w:rStyle w:val="Hyperlink"/>
          </w:rPr>
          <w:t xml:space="preserve">[61]</w:t>
        </w:r>
      </w:hyperlink>
    </w:p>
    <w:bookmarkEnd w:id="49"/>
    <w:bookmarkEnd w:id="50"/>
    <w:bookmarkEnd w:id="51"/>
    <w:p>
      <w:r>
        <w:pict>
          <v:rect style="width:0;height:1.5pt" o:hralign="center" o:hrstd="t" o:hr="t"/>
        </w:pict>
      </w:r>
    </w:p>
    <w:bookmarkStart w:id="52"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[16]</w:t>
        </w:r>
      </w:hyperlink>
      <w:r>
        <w:t xml:space="preserve"> </w:t>
      </w:r>
      <w:hyperlink r:id="rId21">
        <w:r>
          <w:rPr>
            <w:rStyle w:val="Hyperlink"/>
          </w:rPr>
          <w:t xml:space="preserve">[27]</w:t>
        </w:r>
      </w:hyperlink>
      <w:r>
        <w:t xml:space="preserve"> </w:t>
      </w:r>
      <w:hyperlink r:id="rId21">
        <w:r>
          <w:rPr>
            <w:rStyle w:val="Hyperlink"/>
          </w:rPr>
          <w:t xml:space="preserve">[35]</w:t>
        </w:r>
      </w:hyperlink>
      <w:r>
        <w:t xml:space="preserve"> </w:t>
      </w:r>
      <w:hyperlink r:id="rId21">
        <w:r>
          <w:rPr>
            <w:rStyle w:val="Hyperlink"/>
          </w:rPr>
          <w:t xml:space="preserve">[52]</w:t>
        </w:r>
      </w:hyperlink>
      <w:r>
        <w:t xml:space="preserve"> </w:t>
      </w:r>
      <w:r>
        <w:t xml:space="preserve">https://konkurransetilsynet.no/wp-content/uploads/2022/12/Konkurransetilsynets-dagligvarerapport-2022.pdf</w:t>
      </w:r>
    </w:p>
    <w:p>
      <w:pPr>
        <w:pStyle w:val="BodyText"/>
      </w:pPr>
      <w:hyperlink r:id="rId21">
        <w:r>
          <w:rPr>
            <w:rStyle w:val="Hyperlink"/>
          </w:rPr>
          <w:t xml:space="preserve">https://konkurransetilsynet.no/wp-content/uploads/2022/12/Konkurransetilsynets-dagligvarerapport-2022.pdf</w:t>
        </w:r>
      </w:hyperlink>
    </w:p>
    <w:p>
      <w:pPr>
        <w:pStyle w:val="BodyText"/>
      </w:pPr>
      <w:hyperlink r:id="rId22">
        <w:r>
          <w:rPr>
            <w:rStyle w:val="Hyperlink"/>
          </w:rPr>
          <w:t xml:space="preserve">[3]</w:t>
        </w:r>
      </w:hyperlink>
      <w:r>
        <w:t xml:space="preserve"> </w:t>
      </w:r>
      <w:hyperlink r:id="rId22">
        <w:r>
          <w:rPr>
            <w:rStyle w:val="Hyperlink"/>
          </w:rPr>
          <w:t xml:space="preserve">[19]</w:t>
        </w:r>
      </w:hyperlink>
      <w:r>
        <w:t xml:space="preserve"> </w:t>
      </w:r>
      <w:hyperlink r:id="rId22">
        <w:r>
          <w:rPr>
            <w:rStyle w:val="Hyperlink"/>
          </w:rPr>
          <w:t xml:space="preserve">[22]</w:t>
        </w:r>
      </w:hyperlink>
      <w:r>
        <w:t xml:space="preserve"> </w:t>
      </w:r>
      <w:hyperlink r:id="rId22">
        <w:r>
          <w:rPr>
            <w:rStyle w:val="Hyperlink"/>
          </w:rPr>
          <w:t xml:space="preserve">[24]</w:t>
        </w:r>
      </w:hyperlink>
      <w:r>
        <w:t xml:space="preserve"> </w:t>
      </w:r>
      <w:hyperlink r:id="rId22">
        <w:r>
          <w:rPr>
            <w:rStyle w:val="Hyperlink"/>
          </w:rPr>
          <w:t xml:space="preserve">[25]</w:t>
        </w:r>
      </w:hyperlink>
      <w:r>
        <w:t xml:space="preserve"> </w:t>
      </w:r>
      <w:hyperlink r:id="rId22">
        <w:r>
          <w:rPr>
            <w:rStyle w:val="Hyperlink"/>
          </w:rPr>
          <w:t xml:space="preserve">[36]</w:t>
        </w:r>
      </w:hyperlink>
      <w:r>
        <w:t xml:space="preserve"> </w:t>
      </w:r>
      <w:hyperlink r:id="rId22">
        <w:r>
          <w:rPr>
            <w:rStyle w:val="Hyperlink"/>
          </w:rPr>
          <w:t xml:space="preserve">[46]</w:t>
        </w:r>
      </w:hyperlink>
      <w:r>
        <w:t xml:space="preserve"> </w:t>
      </w:r>
      <w:hyperlink r:id="rId22">
        <w:r>
          <w:rPr>
            <w:rStyle w:val="Hyperlink"/>
          </w:rPr>
          <w:t xml:space="preserve">[53]</w:t>
        </w:r>
      </w:hyperlink>
      <w:r>
        <w:t xml:space="preserve"> </w:t>
      </w:r>
      <w:hyperlink r:id="rId22">
        <w:r>
          <w:rPr>
            <w:rStyle w:val="Hyperlink"/>
          </w:rPr>
          <w:t xml:space="preserve">[59]</w:t>
        </w:r>
      </w:hyperlink>
      <w:r>
        <w:t xml:space="preserve"> </w:t>
      </w:r>
      <w:hyperlink r:id="rId22">
        <w:r>
          <w:rPr>
            <w:rStyle w:val="Hyperlink"/>
          </w:rPr>
          <w:t xml:space="preserve">[61]</w:t>
        </w:r>
      </w:hyperlink>
      <w:r>
        <w:t xml:space="preserve"> </w:t>
      </w:r>
      <w:r>
        <w:t xml:space="preserve">https://www.mynewsdesk.com/se/mathem/pressreleases/stort-omtag-i-mathem-foer-att-naa-finansiell-haallbarhet-3342893</w:t>
      </w:r>
    </w:p>
    <w:p>
      <w:pPr>
        <w:pStyle w:val="BodyText"/>
      </w:pPr>
      <w:hyperlink r:id="rId22">
        <w:r>
          <w:rPr>
            <w:rStyle w:val="Hyperlink"/>
          </w:rPr>
          <w:t xml:space="preserve">https://www.mynewsdesk.com/se/mathem/pressreleases/stort-omtag-i-mathem-foer-att-naa-finansiell-haallbarhet-3342893</w:t>
        </w:r>
      </w:hyperlink>
    </w:p>
    <w:p>
      <w:pPr>
        <w:pStyle w:val="BodyText"/>
      </w:pPr>
      <w:hyperlink r:id="rId23">
        <w:r>
          <w:rPr>
            <w:rStyle w:val="Hyperlink"/>
          </w:rPr>
          <w:t xml:space="preserve">[4]</w:t>
        </w:r>
      </w:hyperlink>
      <w:r>
        <w:t xml:space="preserve"> </w:t>
      </w:r>
      <w:r>
        <w:t xml:space="preserve">https://www.regjeringen.no/no/aktuelt/gar-ikke-videre-med-forslag-om-forbud-mot-forskjeller-i-innkjopspriser-i-dagligvarebransjen/id3121353/</w:t>
      </w:r>
    </w:p>
    <w:p>
      <w:pPr>
        <w:pStyle w:val="BodyText"/>
      </w:pPr>
      <w:hyperlink r:id="rId23">
        <w:r>
          <w:rPr>
            <w:rStyle w:val="Hyperlink"/>
          </w:rPr>
          <w:t xml:space="preserve">https://www.regjeringen.no/no/aktuelt/gar-ikke-videre-med-forslag-om-forbud-mot-forskjeller-i-innkjopspriser-i-dagligvarebransjen/id3121353/</w:t>
        </w:r>
      </w:hyperlink>
    </w:p>
    <w:p>
      <w:pPr>
        <w:pStyle w:val="BodyText"/>
      </w:pPr>
      <w:hyperlink r:id="rId25">
        <w:r>
          <w:rPr>
            <w:rStyle w:val="Hyperlink"/>
          </w:rPr>
          <w:t xml:space="preserve">[5]</w:t>
        </w:r>
      </w:hyperlink>
      <w:r>
        <w:t xml:space="preserve"> </w:t>
      </w:r>
      <w:hyperlink r:id="rId25">
        <w:r>
          <w:rPr>
            <w:rStyle w:val="Hyperlink"/>
          </w:rPr>
          <w:t xml:space="preserve">[55]</w:t>
        </w:r>
      </w:hyperlink>
      <w:r>
        <w:t xml:space="preserve"> </w:t>
      </w:r>
      <w:r>
        <w:t xml:space="preserve">https://www.nhh.no/en/research-centres/food/food-news/2023/coop-denmark-ends-home-deliveries/</w:t>
      </w:r>
    </w:p>
    <w:p>
      <w:pPr>
        <w:pStyle w:val="BodyText"/>
      </w:pPr>
      <w:hyperlink r:id="rId25">
        <w:r>
          <w:rPr>
            <w:rStyle w:val="Hyperlink"/>
          </w:rPr>
          <w:t xml:space="preserve">https://www.nhh.no/en/research-centres/food/food-news/2023/coop-denmark-ends-home-deliveries/</w:t>
        </w:r>
      </w:hyperlink>
    </w:p>
    <w:p>
      <w:pPr>
        <w:pStyle w:val="BodyText"/>
      </w:pPr>
      <w:hyperlink r:id="rId26">
        <w:r>
          <w:rPr>
            <w:rStyle w:val="Hyperlink"/>
          </w:rPr>
          <w:t xml:space="preserve">[6]</w:t>
        </w:r>
      </w:hyperlink>
      <w:r>
        <w:t xml:space="preserve"> </w:t>
      </w:r>
      <w:hyperlink r:id="rId26">
        <w:r>
          <w:rPr>
            <w:rStyle w:val="Hyperlink"/>
          </w:rPr>
          <w:t xml:space="preserve">[12]</w:t>
        </w:r>
      </w:hyperlink>
      <w:r>
        <w:t xml:space="preserve"> </w:t>
      </w:r>
      <w:hyperlink r:id="rId26">
        <w:r>
          <w:rPr>
            <w:rStyle w:val="Hyperlink"/>
          </w:rPr>
          <w:t xml:space="preserve">[14]</w:t>
        </w:r>
      </w:hyperlink>
      <w:r>
        <w:t xml:space="preserve"> </w:t>
      </w:r>
      <w:hyperlink r:id="rId26">
        <w:r>
          <w:rPr>
            <w:rStyle w:val="Hyperlink"/>
          </w:rPr>
          <w:t xml:space="preserve">[15]</w:t>
        </w:r>
      </w:hyperlink>
      <w:r>
        <w:t xml:space="preserve"> </w:t>
      </w:r>
      <w:hyperlink r:id="rId26">
        <w:r>
          <w:rPr>
            <w:rStyle w:val="Hyperlink"/>
          </w:rPr>
          <w:t xml:space="preserve">[31]</w:t>
        </w:r>
      </w:hyperlink>
      <w:r>
        <w:t xml:space="preserve"> </w:t>
      </w:r>
      <w:r>
        <w:t xml:space="preserve">https://www.icagruppen.se/arkiv/pressmeddelandearkiv/2014/ica-gruppen-avyttrar-ica-norge-till-coop-norge-for-28-mdr-sek1/</w:t>
      </w:r>
    </w:p>
    <w:p>
      <w:pPr>
        <w:pStyle w:val="BodyText"/>
      </w:pPr>
      <w:hyperlink r:id="rId26">
        <w:r>
          <w:rPr>
            <w:rStyle w:val="Hyperlink"/>
          </w:rPr>
          <w:t xml:space="preserve">https://www.icagruppen.se/arkiv/pressmeddelandearkiv/2014/ica-gruppen-avyttrar-ica-norge-till-coop-norge-for-28-mdr-sek1/</w:t>
        </w:r>
      </w:hyperlink>
    </w:p>
    <w:p>
      <w:pPr>
        <w:pStyle w:val="BodyText"/>
      </w:pPr>
      <w:hyperlink r:id="rId27">
        <w:r>
          <w:rPr>
            <w:rStyle w:val="Hyperlink"/>
          </w:rPr>
          <w:t xml:space="preserve">[7]</w:t>
        </w:r>
      </w:hyperlink>
      <w:r>
        <w:t xml:space="preserve"> </w:t>
      </w:r>
      <w:r>
        <w:t xml:space="preserve">https://news.cision.com/no/rema-1000/r/pressemeldning--lidl-norge-overforer-all-sin-virksomhet-til-rema-1000%2Cc338597</w:t>
      </w:r>
    </w:p>
    <w:p>
      <w:pPr>
        <w:pStyle w:val="BodyText"/>
      </w:pPr>
      <w:hyperlink r:id="rId27">
        <w:r>
          <w:rPr>
            <w:rStyle w:val="Hyperlink"/>
          </w:rPr>
          <w:t xml:space="preserve">https://news.cision.com/no/rema-1000/r/pressemeldning--lidl-norge-overforer-all-sin-virksomhet-til-rema-1000%2Cc338597</w:t>
        </w:r>
      </w:hyperlink>
    </w:p>
    <w:p>
      <w:pPr>
        <w:pStyle w:val="BodyText"/>
      </w:pPr>
      <w:hyperlink r:id="rId28">
        <w:r>
          <w:rPr>
            <w:rStyle w:val="Hyperlink"/>
          </w:rPr>
          <w:t xml:space="preserve">[8]</w:t>
        </w:r>
      </w:hyperlink>
      <w:r>
        <w:t xml:space="preserve"> </w:t>
      </w:r>
      <w:hyperlink r:id="rId28">
        <w:r>
          <w:rPr>
            <w:rStyle w:val="Hyperlink"/>
          </w:rPr>
          <w:t xml:space="preserve">[9]</w:t>
        </w:r>
      </w:hyperlink>
      <w:r>
        <w:t xml:space="preserve"> </w:t>
      </w:r>
      <w:hyperlink r:id="rId28">
        <w:r>
          <w:rPr>
            <w:rStyle w:val="Hyperlink"/>
          </w:rPr>
          <w:t xml:space="preserve">[11]</w:t>
        </w:r>
      </w:hyperlink>
      <w:r>
        <w:t xml:space="preserve"> </w:t>
      </w:r>
      <w:hyperlink r:id="rId28">
        <w:r>
          <w:rPr>
            <w:rStyle w:val="Hyperlink"/>
          </w:rPr>
          <w:t xml:space="preserve">[17]</w:t>
        </w:r>
      </w:hyperlink>
      <w:r>
        <w:t xml:space="preserve"> </w:t>
      </w:r>
      <w:hyperlink r:id="rId28">
        <w:r>
          <w:rPr>
            <w:rStyle w:val="Hyperlink"/>
          </w:rPr>
          <w:t xml:space="preserve">[34]</w:t>
        </w:r>
      </w:hyperlink>
      <w:r>
        <w:t xml:space="preserve"> </w:t>
      </w:r>
      <w:hyperlink r:id="rId28">
        <w:r>
          <w:rPr>
            <w:rStyle w:val="Hyperlink"/>
          </w:rPr>
          <w:t xml:space="preserve">[40]</w:t>
        </w:r>
      </w:hyperlink>
      <w:r>
        <w:t xml:space="preserve"> </w:t>
      </w:r>
      <w:hyperlink r:id="rId28">
        <w:r>
          <w:rPr>
            <w:rStyle w:val="Hyperlink"/>
          </w:rPr>
          <w:t xml:space="preserve">[45]</w:t>
        </w:r>
      </w:hyperlink>
      <w:r>
        <w:t xml:space="preserve"> </w:t>
      </w:r>
      <w:hyperlink r:id="rId28">
        <w:r>
          <w:rPr>
            <w:rStyle w:val="Hyperlink"/>
          </w:rPr>
          <w:t xml:space="preserve">[49]</w:t>
        </w:r>
      </w:hyperlink>
      <w:r>
        <w:t xml:space="preserve"> </w:t>
      </w:r>
      <w:hyperlink r:id="rId28">
        <w:r>
          <w:rPr>
            <w:rStyle w:val="Hyperlink"/>
          </w:rPr>
          <w:t xml:space="preserve">[50]</w:t>
        </w:r>
      </w:hyperlink>
      <w:r>
        <w:t xml:space="preserve"> </w:t>
      </w:r>
      <w:hyperlink r:id="rId28">
        <w:r>
          <w:rPr>
            <w:rStyle w:val="Hyperlink"/>
          </w:rPr>
          <w:t xml:space="preserve">[57]</w:t>
        </w:r>
      </w:hyperlink>
      <w:r>
        <w:t xml:space="preserve"> </w:t>
      </w:r>
      <w:r>
        <w:t xml:space="preserve">https://konkurransetilsynet.no/decisions/horingsuttalelse-rapport-etableringshindringer-i-dagligvaresektoren/</w:t>
      </w:r>
    </w:p>
    <w:p>
      <w:pPr>
        <w:pStyle w:val="BodyText"/>
      </w:pPr>
      <w:hyperlink r:id="rId28">
        <w:r>
          <w:rPr>
            <w:rStyle w:val="Hyperlink"/>
          </w:rPr>
          <w:t xml:space="preserve">https://konkurransetilsynet.no/decisions/horingsuttalelse-rapport-etableringshindringer-i-dagligvaresektoren/</w:t>
        </w:r>
      </w:hyperlink>
    </w:p>
    <w:p>
      <w:pPr>
        <w:pStyle w:val="BodyText"/>
      </w:pPr>
      <w:hyperlink r:id="rId30">
        <w:r>
          <w:rPr>
            <w:rStyle w:val="Hyperlink"/>
          </w:rPr>
          <w:t xml:space="preserve">[10]</w:t>
        </w:r>
      </w:hyperlink>
      <w:r>
        <w:t xml:space="preserve"> </w:t>
      </w:r>
      <w:hyperlink r:id="rId30">
        <w:r>
          <w:rPr>
            <w:rStyle w:val="Hyperlink"/>
          </w:rPr>
          <w:t xml:space="preserve">[26]</w:t>
        </w:r>
      </w:hyperlink>
      <w:r>
        <w:t xml:space="preserve"> </w:t>
      </w:r>
      <w:hyperlink r:id="rId30">
        <w:r>
          <w:rPr>
            <w:rStyle w:val="Hyperlink"/>
          </w:rPr>
          <w:t xml:space="preserve">[32]</w:t>
        </w:r>
      </w:hyperlink>
      <w:r>
        <w:t xml:space="preserve"> </w:t>
      </w:r>
      <w:hyperlink r:id="rId30">
        <w:r>
          <w:rPr>
            <w:rStyle w:val="Hyperlink"/>
          </w:rPr>
          <w:t xml:space="preserve">[48]</w:t>
        </w:r>
      </w:hyperlink>
      <w:r>
        <w:t xml:space="preserve"> </w:t>
      </w:r>
      <w:hyperlink r:id="rId30">
        <w:r>
          <w:rPr>
            <w:rStyle w:val="Hyperlink"/>
          </w:rPr>
          <w:t xml:space="preserve">[51]</w:t>
        </w:r>
      </w:hyperlink>
      <w:r>
        <w:t xml:space="preserve"> </w:t>
      </w:r>
      <w:hyperlink r:id="rId30">
        <w:r>
          <w:rPr>
            <w:rStyle w:val="Hyperlink"/>
          </w:rPr>
          <w:t xml:space="preserve">[56]</w:t>
        </w:r>
      </w:hyperlink>
      <w:r>
        <w:t xml:space="preserve"> </w:t>
      </w:r>
      <w:hyperlink r:id="rId30">
        <w:r>
          <w:rPr>
            <w:rStyle w:val="Hyperlink"/>
          </w:rPr>
          <w:t xml:space="preserve">[60]</w:t>
        </w:r>
      </w:hyperlink>
      <w:r>
        <w:t xml:space="preserve"> </w:t>
      </w:r>
      <w:r>
        <w:t xml:space="preserve">https://www.nhh.no/en/research-centres/food/food-news/2024/all-retail-sectors-are-highly-concentrated/</w:t>
      </w:r>
    </w:p>
    <w:p>
      <w:pPr>
        <w:pStyle w:val="BodyText"/>
      </w:pPr>
      <w:hyperlink r:id="rId30">
        <w:r>
          <w:rPr>
            <w:rStyle w:val="Hyperlink"/>
          </w:rPr>
          <w:t xml:space="preserve">https://www.nhh.no/en/research-centres/food/food-news/2024/all-retail-sectors-are-highly-concentrated/</w:t>
        </w:r>
      </w:hyperlink>
    </w:p>
    <w:p>
      <w:pPr>
        <w:pStyle w:val="BodyText"/>
      </w:pPr>
      <w:hyperlink r:id="rId31">
        <w:r>
          <w:rPr>
            <w:rStyle w:val="Hyperlink"/>
          </w:rPr>
          <w:t xml:space="preserve">[13]</w:t>
        </w:r>
      </w:hyperlink>
      <w:r>
        <w:t xml:space="preserve"> </w:t>
      </w:r>
      <w:hyperlink r:id="rId31">
        <w:r>
          <w:rPr>
            <w:rStyle w:val="Hyperlink"/>
          </w:rPr>
          <w:t xml:space="preserve">[23]</w:t>
        </w:r>
      </w:hyperlink>
      <w:r>
        <w:t xml:space="preserve"> </w:t>
      </w:r>
      <w:hyperlink r:id="rId31">
        <w:r>
          <w:rPr>
            <w:rStyle w:val="Hyperlink"/>
          </w:rPr>
          <w:t xml:space="preserve">[54]</w:t>
        </w:r>
      </w:hyperlink>
      <w:r>
        <w:t xml:space="preserve"> </w:t>
      </w:r>
      <w:r>
        <w:t xml:space="preserve">https://www.kinnevik.com/investor-relations/press-releases/2021/mathem-to-merge-with-axfoods-mat-se-and-enter-into-long-term-supply-agreement-with-dagab/</w:t>
      </w:r>
    </w:p>
    <w:p>
      <w:pPr>
        <w:pStyle w:val="BodyText"/>
      </w:pPr>
      <w:hyperlink r:id="rId31">
        <w:r>
          <w:rPr>
            <w:rStyle w:val="Hyperlink"/>
          </w:rPr>
          <w:t xml:space="preserve">https://www.kinnevik.com/investor-relations/press-releases/2021/mathem-to-merge-with-axfoods-mat-se-and-enter-into-long-term-supply-agreement-with-dagab/</w:t>
        </w:r>
      </w:hyperlink>
    </w:p>
    <w:p>
      <w:pPr>
        <w:pStyle w:val="BodyText"/>
      </w:pPr>
      <w:hyperlink r:id="rId34">
        <w:r>
          <w:rPr>
            <w:rStyle w:val="Hyperlink"/>
          </w:rPr>
          <w:t xml:space="preserve">[18]</w:t>
        </w:r>
      </w:hyperlink>
      <w:r>
        <w:t xml:space="preserve"> </w:t>
      </w:r>
      <w:hyperlink r:id="rId34">
        <w:r>
          <w:rPr>
            <w:rStyle w:val="Hyperlink"/>
          </w:rPr>
          <w:t xml:space="preserve">[20]</w:t>
        </w:r>
      </w:hyperlink>
      <w:r>
        <w:t xml:space="preserve"> </w:t>
      </w:r>
      <w:hyperlink r:id="rId34">
        <w:r>
          <w:rPr>
            <w:rStyle w:val="Hyperlink"/>
          </w:rPr>
          <w:t xml:space="preserve">[28]</w:t>
        </w:r>
      </w:hyperlink>
      <w:r>
        <w:t xml:space="preserve"> </w:t>
      </w:r>
      <w:hyperlink r:id="rId34">
        <w:r>
          <w:rPr>
            <w:rStyle w:val="Hyperlink"/>
          </w:rPr>
          <w:t xml:space="preserve">[29]</w:t>
        </w:r>
      </w:hyperlink>
      <w:r>
        <w:t xml:space="preserve"> </w:t>
      </w:r>
      <w:hyperlink r:id="rId34">
        <w:r>
          <w:rPr>
            <w:rStyle w:val="Hyperlink"/>
          </w:rPr>
          <w:t xml:space="preserve">[30]</w:t>
        </w:r>
      </w:hyperlink>
      <w:r>
        <w:t xml:space="preserve"> </w:t>
      </w:r>
      <w:hyperlink r:id="rId34">
        <w:r>
          <w:rPr>
            <w:rStyle w:val="Hyperlink"/>
          </w:rPr>
          <w:t xml:space="preserve">[41]</w:t>
        </w:r>
      </w:hyperlink>
      <w:r>
        <w:t xml:space="preserve"> </w:t>
      </w:r>
      <w:hyperlink r:id="rId34">
        <w:r>
          <w:rPr>
            <w:rStyle w:val="Hyperlink"/>
          </w:rPr>
          <w:t xml:space="preserve">[42]</w:t>
        </w:r>
      </w:hyperlink>
      <w:r>
        <w:t xml:space="preserve"> </w:t>
      </w:r>
      <w:hyperlink r:id="rId34">
        <w:r>
          <w:rPr>
            <w:rStyle w:val="Hyperlink"/>
          </w:rPr>
          <w:t xml:space="preserve">[43]</w:t>
        </w:r>
      </w:hyperlink>
      <w:r>
        <w:t xml:space="preserve"> </w:t>
      </w:r>
      <w:hyperlink r:id="rId34">
        <w:r>
          <w:rPr>
            <w:rStyle w:val="Hyperlink"/>
          </w:rPr>
          <w:t xml:space="preserve">[44]</w:t>
        </w:r>
      </w:hyperlink>
      <w:r>
        <w:t xml:space="preserve"> </w:t>
      </w:r>
      <w:hyperlink r:id="rId34">
        <w:r>
          <w:rPr>
            <w:rStyle w:val="Hyperlink"/>
          </w:rPr>
          <w:t xml:space="preserve">[47]</w:t>
        </w:r>
      </w:hyperlink>
      <w:r>
        <w:t xml:space="preserve"> </w:t>
      </w:r>
      <w:r>
        <w:t xml:space="preserve">https://coop.dk/kontakt/pressekontakt/pressemeddelelser/coop-samler-tre-kaeder-i-en/</w:t>
      </w:r>
    </w:p>
    <w:p>
      <w:pPr>
        <w:pStyle w:val="BodyText"/>
      </w:pPr>
      <w:hyperlink r:id="rId34">
        <w:r>
          <w:rPr>
            <w:rStyle w:val="Hyperlink"/>
          </w:rPr>
          <w:t xml:space="preserve">https://coop.dk/kontakt/pressekontakt/pressemeddelelser/coop-samler-tre-kaeder-i-en/</w:t>
        </w:r>
      </w:hyperlink>
    </w:p>
    <w:p>
      <w:pPr>
        <w:pStyle w:val="BodyText"/>
      </w:pPr>
      <w:hyperlink r:id="rId35">
        <w:r>
          <w:rPr>
            <w:rStyle w:val="Hyperlink"/>
          </w:rPr>
          <w:t xml:space="preserve">[21]</w:t>
        </w:r>
      </w:hyperlink>
      <w:r>
        <w:t xml:space="preserve"> </w:t>
      </w:r>
      <w:hyperlink r:id="rId35">
        <w:r>
          <w:rPr>
            <w:rStyle w:val="Hyperlink"/>
          </w:rPr>
          <w:t xml:space="preserve">[38]</w:t>
        </w:r>
      </w:hyperlink>
      <w:r>
        <w:t xml:space="preserve"> </w:t>
      </w:r>
      <w:r>
        <w:t xml:space="preserve">https://www.kkv.fi/en/current/press-releases/fcca-approves-the-acquisition-between-sok-and-stockmann-delicatessen-subject-to-conditions/</w:t>
      </w:r>
    </w:p>
    <w:p>
      <w:pPr>
        <w:pStyle w:val="BodyText"/>
      </w:pPr>
      <w:hyperlink r:id="rId35">
        <w:r>
          <w:rPr>
            <w:rStyle w:val="Hyperlink"/>
          </w:rPr>
          <w:t xml:space="preserve">https://www.kkv.fi/en/current/press-releases/fcca-approves-the-acquisition-between-sok-and-stockmann-delicatessen-subject-to-conditions/</w:t>
        </w:r>
      </w:hyperlink>
    </w:p>
    <w:p>
      <w:pPr>
        <w:pStyle w:val="BodyText"/>
      </w:pPr>
      <w:hyperlink r:id="rId38">
        <w:r>
          <w:rPr>
            <w:rStyle w:val="Hyperlink"/>
          </w:rPr>
          <w:t xml:space="preserve">[33]</w:t>
        </w:r>
      </w:hyperlink>
      <w:r>
        <w:t xml:space="preserve"> </w:t>
      </w:r>
      <w:r>
        <w:t xml:space="preserve">https://www.foodora.fi/en/contents/service-update</w:t>
      </w:r>
    </w:p>
    <w:p>
      <w:pPr>
        <w:pStyle w:val="BodyText"/>
      </w:pPr>
      <w:hyperlink r:id="rId38">
        <w:r>
          <w:rPr>
            <w:rStyle w:val="Hyperlink"/>
          </w:rPr>
          <w:t xml:space="preserve">https://www.foodora.fi/en/contents/service-update</w:t>
        </w:r>
      </w:hyperlink>
    </w:p>
    <w:p>
      <w:pPr>
        <w:pStyle w:val="BodyText"/>
      </w:pPr>
      <w:hyperlink r:id="rId41">
        <w:r>
          <w:rPr>
            <w:rStyle w:val="Hyperlink"/>
          </w:rPr>
          <w:t xml:space="preserve">[37]</w:t>
        </w:r>
      </w:hyperlink>
      <w:r>
        <w:t xml:space="preserve"> </w:t>
      </w:r>
      <w:hyperlink r:id="rId41">
        <w:r>
          <w:rPr>
            <w:rStyle w:val="Hyperlink"/>
          </w:rPr>
          <w:t xml:space="preserve">[39]</w:t>
        </w:r>
      </w:hyperlink>
      <w:r>
        <w:t xml:space="preserve"> </w:t>
      </w:r>
      <w:r>
        <w:t xml:space="preserve">https://www.lindexgroup.com/en/2017/06/30/stockmann-to-sell-its-delicatessen-business-in-finland-to-s-group-stockmann-delicatessen-stores-will-remain-in-all-department-stores/</w:t>
      </w:r>
    </w:p>
    <w:p>
      <w:pPr>
        <w:pStyle w:val="BodyText"/>
      </w:pPr>
      <w:hyperlink r:id="rId41">
        <w:r>
          <w:rPr>
            <w:rStyle w:val="Hyperlink"/>
          </w:rPr>
          <w:t xml:space="preserve">https://www.lindexgroup.com/en/2017/06/30/stockmann-to-sell-its-delicatessen-business-in-finland-to-s-group-stockmann-delicatessen-stores-will-remain-in-all-department-stores/</w:t>
        </w:r>
      </w:hyperlink>
    </w:p>
    <w:p>
      <w:pPr>
        <w:pStyle w:val="BodyText"/>
      </w:pPr>
      <w:hyperlink r:id="rId48">
        <w:r>
          <w:rPr>
            <w:rStyle w:val="Hyperlink"/>
          </w:rPr>
          <w:t xml:space="preserve">[58]</w:t>
        </w:r>
      </w:hyperlink>
      <w:r>
        <w:t xml:space="preserve"> </w:t>
      </w:r>
      <w:r>
        <w:t xml:space="preserve">https://www.nib.int/articles/lidl-building-nordic-identity</w:t>
      </w:r>
    </w:p>
    <w:p>
      <w:pPr>
        <w:pStyle w:val="BodyText"/>
      </w:pPr>
      <w:hyperlink r:id="rId48">
        <w:r>
          <w:rPr>
            <w:rStyle w:val="Hyperlink"/>
          </w:rPr>
          <w:t xml:space="preserve">https://www.nib.int/articles/lidl-building-nordic-identity</w:t>
        </w:r>
      </w:hyperlink>
    </w:p>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nb"/>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4" Target="https://coop.dk/kontakt/pressekontakt/pressemeddelelser/coop-samler-tre-kaeder-i-en/" TargetMode="External" /><Relationship Type="http://schemas.openxmlformats.org/officeDocument/2006/relationships/hyperlink" Id="rId28" Target="https://konkurransetilsynet.no/decisions/horingsuttalelse-rapport-etableringshindringer-i-dagligvaresektoren/" TargetMode="External" /><Relationship Type="http://schemas.openxmlformats.org/officeDocument/2006/relationships/hyperlink" Id="rId21" Target="https://konkurransetilsynet.no/wp-content/uploads/2022/12/Konkurransetilsynets-dagligvarerapport-2022.pdf" TargetMode="External" /><Relationship Type="http://schemas.openxmlformats.org/officeDocument/2006/relationships/hyperlink" Id="rId27" Target="https://news.cision.com/no/rema-1000/r/pressemeldning--lidl-norge-overforer-all-sin-virksomhet-til-rema-1000%2Cc338597" TargetMode="External" /><Relationship Type="http://schemas.openxmlformats.org/officeDocument/2006/relationships/hyperlink" Id="rId38" Target="https://www.foodora.fi/en/contents/service-update" TargetMode="External" /><Relationship Type="http://schemas.openxmlformats.org/officeDocument/2006/relationships/hyperlink" Id="rId26" Target="https://www.icagruppen.se/arkiv/pressmeddelandearkiv/2014/ica-gruppen-avyttrar-ica-norge-till-coop-norge-for-28-mdr-sek1/" TargetMode="External" /><Relationship Type="http://schemas.openxmlformats.org/officeDocument/2006/relationships/hyperlink" Id="rId31" Target="https://www.kinnevik.com/investor-relations/press-releases/2021/mathem-to-merge-with-axfoods-mat-se-and-enter-into-long-term-supply-agreement-with-dagab/" TargetMode="External" /><Relationship Type="http://schemas.openxmlformats.org/officeDocument/2006/relationships/hyperlink" Id="rId35" Target="https://www.kkv.fi/en/current/press-releases/fcca-approves-the-acquisition-between-sok-and-stockmann-delicatessen-subject-to-conditions/" TargetMode="External" /><Relationship Type="http://schemas.openxmlformats.org/officeDocument/2006/relationships/hyperlink" Id="rId41" Target="https://www.lindexgroup.com/en/2017/06/30/stockmann-to-sell-its-delicatessen-business-in-finland-to-s-group-stockmann-delicatessen-stores-will-remain-in-all-department-stores/" TargetMode="External" /><Relationship Type="http://schemas.openxmlformats.org/officeDocument/2006/relationships/hyperlink" Id="rId22" Target="https://www.mynewsdesk.com/se/mathem/pressreleases/stort-omtag-i-mathem-foer-att-naa-finansiell-haallbarhet-3342893" TargetMode="External" /><Relationship Type="http://schemas.openxmlformats.org/officeDocument/2006/relationships/hyperlink" Id="rId25" Target="https://www.nhh.no/en/research-centres/food/food-news/2023/coop-denmark-ends-home-deliveries/" TargetMode="External" /><Relationship Type="http://schemas.openxmlformats.org/officeDocument/2006/relationships/hyperlink" Id="rId30" Target="https://www.nhh.no/en/research-centres/food/food-news/2024/all-retail-sectors-are-highly-concentrated/" TargetMode="External" /><Relationship Type="http://schemas.openxmlformats.org/officeDocument/2006/relationships/hyperlink" Id="rId48" Target="https://www.nib.int/articles/lidl-building-nordic-identity" TargetMode="External" /><Relationship Type="http://schemas.openxmlformats.org/officeDocument/2006/relationships/hyperlink" Id="rId23" Target="https://www.regjeringen.no/no/aktuelt/gar-ikke-videre-med-forslag-om-forbud-mot-forskjeller-i-innkjopspriser-i-dagligvarebransjen/id3121353/" TargetMode="External" /></Relationships>
</file>

<file path=word/_rels/footnotes.xml.rels><?xml version="1.0" encoding="UTF-8"?><Relationships xmlns="http://schemas.openxmlformats.org/package/2006/relationships"><Relationship Type="http://schemas.openxmlformats.org/officeDocument/2006/relationships/hyperlink" Id="rId34" Target="https://coop.dk/kontakt/pressekontakt/pressemeddelelser/coop-samler-tre-kaeder-i-en/" TargetMode="External" /><Relationship Type="http://schemas.openxmlformats.org/officeDocument/2006/relationships/hyperlink" Id="rId28" Target="https://konkurransetilsynet.no/decisions/horingsuttalelse-rapport-etableringshindringer-i-dagligvaresektoren/" TargetMode="External" /><Relationship Type="http://schemas.openxmlformats.org/officeDocument/2006/relationships/hyperlink" Id="rId21" Target="https://konkurransetilsynet.no/wp-content/uploads/2022/12/Konkurransetilsynets-dagligvarerapport-2022.pdf" TargetMode="External" /><Relationship Type="http://schemas.openxmlformats.org/officeDocument/2006/relationships/hyperlink" Id="rId27" Target="https://news.cision.com/no/rema-1000/r/pressemeldning--lidl-norge-overforer-all-sin-virksomhet-til-rema-1000%2Cc338597" TargetMode="External" /><Relationship Type="http://schemas.openxmlformats.org/officeDocument/2006/relationships/hyperlink" Id="rId38" Target="https://www.foodora.fi/en/contents/service-update" TargetMode="External" /><Relationship Type="http://schemas.openxmlformats.org/officeDocument/2006/relationships/hyperlink" Id="rId26" Target="https://www.icagruppen.se/arkiv/pressmeddelandearkiv/2014/ica-gruppen-avyttrar-ica-norge-till-coop-norge-for-28-mdr-sek1/" TargetMode="External" /><Relationship Type="http://schemas.openxmlformats.org/officeDocument/2006/relationships/hyperlink" Id="rId31" Target="https://www.kinnevik.com/investor-relations/press-releases/2021/mathem-to-merge-with-axfoods-mat-se-and-enter-into-long-term-supply-agreement-with-dagab/" TargetMode="External" /><Relationship Type="http://schemas.openxmlformats.org/officeDocument/2006/relationships/hyperlink" Id="rId35" Target="https://www.kkv.fi/en/current/press-releases/fcca-approves-the-acquisition-between-sok-and-stockmann-delicatessen-subject-to-conditions/" TargetMode="External" /><Relationship Type="http://schemas.openxmlformats.org/officeDocument/2006/relationships/hyperlink" Id="rId41" Target="https://www.lindexgroup.com/en/2017/06/30/stockmann-to-sell-its-delicatessen-business-in-finland-to-s-group-stockmann-delicatessen-stores-will-remain-in-all-department-stores/" TargetMode="External" /><Relationship Type="http://schemas.openxmlformats.org/officeDocument/2006/relationships/hyperlink" Id="rId22" Target="https://www.mynewsdesk.com/se/mathem/pressreleases/stort-omtag-i-mathem-foer-att-naa-finansiell-haallbarhet-3342893" TargetMode="External" /><Relationship Type="http://schemas.openxmlformats.org/officeDocument/2006/relationships/hyperlink" Id="rId25" Target="https://www.nhh.no/en/research-centres/food/food-news/2023/coop-denmark-ends-home-deliveries/" TargetMode="External" /><Relationship Type="http://schemas.openxmlformats.org/officeDocument/2006/relationships/hyperlink" Id="rId30" Target="https://www.nhh.no/en/research-centres/food/food-news/2024/all-retail-sectors-are-highly-concentrated/" TargetMode="External" /><Relationship Type="http://schemas.openxmlformats.org/officeDocument/2006/relationships/hyperlink" Id="rId48" Target="https://www.nib.int/articles/lidl-building-nordic-identity" TargetMode="External" /><Relationship Type="http://schemas.openxmlformats.org/officeDocument/2006/relationships/hyperlink" Id="rId23" Target="https://www.regjeringen.no/no/aktuelt/gar-ikke-videre-med-forslag-om-forbud-mot-forskjeller-i-innkjopspriser-i-dagligvarebransjen/id312135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nb</dc:language>
  <cp:keywords/>
  <dcterms:created xsi:type="dcterms:W3CDTF">2026-04-20T05:58:05Z</dcterms:created>
  <dcterms:modified xsi:type="dcterms:W3CDTF">2026-04-20T05:58:05Z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