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64d46705b0973ab23957f858c1e4ce77b6a7f8b"/>
    <w:p>
      <w:pPr>
        <w:pStyle w:val="Heading1"/>
      </w:pPr>
      <w:r>
        <w:t xml:space="preserve">Nordiske og internasjonale benchmark-case for matsystemomstilling</w:t>
      </w:r>
    </w:p>
    <w:p>
      <w:pPr>
        <w:pStyle w:val="FirstParagraph"/>
      </w:pPr>
      <w:r>
        <w:t xml:space="preserve">Det tydeligste mønsteret i materialet er at caser som faktisk har flyttet praksis, policy eller kapital sjelden bygger på én enkelt innovasjon. De mest robuste eksemplene kombinerer en etterspørselsmotor som innkjøp, pris eller regulering, en operativ motor som trening, data eller logistikk, og en finansieringsmotor som premier, fond eller kontrakter som gjør endringen økonomisk rasjonell for aktørene som skal gjennomføre den.</w:t>
      </w:r>
      <w:r>
        <w:t xml:space="preserve"> </w:t>
      </w:r>
      <w:hyperlink r:id="rId21">
        <w:r>
          <w:rPr>
            <w:rStyle w:val="Hyperlink"/>
          </w:rPr>
          <w:t xml:space="preserve">[1]</w:t>
        </w:r>
      </w:hyperlink>
    </w:p>
    <w:bookmarkStart w:id="22" w:name="hvordan-casene-er-valgt"/>
    <w:p>
      <w:pPr>
        <w:pStyle w:val="Heading2"/>
      </w:pPr>
      <w:r>
        <w:t xml:space="preserve">Hvordan casene er valgt</w:t>
      </w:r>
    </w:p>
    <w:p>
      <w:pPr>
        <w:pStyle w:val="FirstParagraph"/>
      </w:pPr>
      <w:r>
        <w:t xml:space="preserve">Jeg har prioritert case som oppfyller minst ett av tre kriterier: de har endret drift i stor skala, de har endret formell policy eller regulering, eller de har flyttet dedikert kapital inn i nye løsninger. I tillegg har jeg gitt ekstra vekt til case som enten er nordiske, eller som har en tydelig læringsverdi for nordisk kontekst fordi de bygger på kommunal styring, samvirke, sterk digital infrastruktur, høy matsikkerhetsstandard eller modne offentlige innkjøpssystemer.</w:t>
      </w:r>
    </w:p>
    <w:bookmarkEnd w:id="22"/>
    <w:bookmarkStart w:id="30" w:name="Xf3bdc27eea4965a526135670f31e339822fffeb"/>
    <w:p>
      <w:pPr>
        <w:pStyle w:val="Heading2"/>
      </w:pPr>
      <w:r>
        <w:t xml:space="preserve">Cases som har flyttet matsvinn og distribusjon</w:t>
      </w:r>
    </w:p>
    <w:p>
      <w:pPr>
        <w:pStyle w:val="FirstParagraph"/>
      </w:pPr>
      <w:r>
        <w:rPr>
          <w:b/>
          <w:bCs/>
        </w:rPr>
        <w:t xml:space="preserve">Vektbasert matavfallsprising og RFID i Sør-Korea</w:t>
      </w:r>
      <w:hyperlink r:id="rId23">
        <w:r>
          <w:rPr>
            <w:rStyle w:val="Hyperlink"/>
            <w:b/>
            <w:bCs/>
          </w:rPr>
          <w:t xml:space="preserve">[2]</w:t>
        </w:r>
      </w:hyperlink>
      <w:r>
        <w:t xml:space="preserve"> </w:t>
      </w:r>
      <w:r>
        <w:t xml:space="preserve">—</w:t>
      </w:r>
      <w:r>
        <w:t xml:space="preserve"> </w:t>
      </w:r>
      <w:r>
        <w:rPr>
          <w:b/>
          <w:bCs/>
        </w:rPr>
        <w:t xml:space="preserve">Tiltaket</w:t>
      </w:r>
      <w:r>
        <w:t xml:space="preserve"> </w:t>
      </w:r>
      <w:r>
        <w:t xml:space="preserve">var en nasjonal kombinasjon av pay-as-you-throw, obligatorisk utsortering, forbud mot deponering av matavfall og senere RFID-baserte beholdere som veier avfall per husholdning.</w:t>
      </w:r>
      <w:r>
        <w:t xml:space="preserve"> </w:t>
      </w:r>
      <w:r>
        <w:rPr>
          <w:b/>
          <w:bCs/>
        </w:rPr>
        <w:t xml:space="preserve">Eierskap/drift</w:t>
      </w:r>
      <w:r>
        <w:t xml:space="preserve"> </w:t>
      </w:r>
      <w:r>
        <w:t xml:space="preserve">lå hos staten og kommunene, med særlig sterk gjennomføring i Seoul.</w:t>
      </w:r>
      <w:r>
        <w:t xml:space="preserve"> </w:t>
      </w:r>
      <w:r>
        <w:rPr>
          <w:b/>
          <w:bCs/>
        </w:rPr>
        <w:t xml:space="preserve">Geografi og skala</w:t>
      </w:r>
      <w:r>
        <w:t xml:space="preserve"> </w:t>
      </w:r>
      <w:r>
        <w:t xml:space="preserve">er nasjonal, og systemet brukes i et stort antall kommuner og millioner av husholdninger.</w:t>
      </w:r>
      <w:r>
        <w:t xml:space="preserve"> </w:t>
      </w:r>
      <w:r>
        <w:rPr>
          <w:b/>
          <w:bCs/>
        </w:rPr>
        <w:t xml:space="preserve">Dokumenterte resultater</w:t>
      </w:r>
      <w:r>
        <w:t xml:space="preserve"> </w:t>
      </w:r>
      <w:r>
        <w:t xml:space="preserve">er svært sterke: landet resirkulerte 96,8 prosent av 4,81 millioner tonn matavfall i 2023, og Seoul har dokumentert 23,9 prosent nedgang i matavfall siden 2013; i Seoul oppgis også at alt innsamlet matavfall går til dyrefôr, kompost eller biogass.</w:t>
      </w:r>
      <w:r>
        <w:t xml:space="preserve"> </w:t>
      </w:r>
      <w:r>
        <w:rPr>
          <w:b/>
          <w:bCs/>
        </w:rPr>
        <w:t xml:space="preserve">Barrierene</w:t>
      </w:r>
      <w:r>
        <w:t xml:space="preserve"> </w:t>
      </w:r>
      <w:r>
        <w:t xml:space="preserve">har vært drifts- og vedlikeholdskostnader, særlig for mindre kommuner.</w:t>
      </w:r>
      <w:r>
        <w:t xml:space="preserve"> </w:t>
      </w:r>
      <w:r>
        <w:rPr>
          <w:b/>
          <w:bCs/>
        </w:rPr>
        <w:t xml:space="preserve">Overførbarheten til Norden</w:t>
      </w:r>
      <w:r>
        <w:t xml:space="preserve"> </w:t>
      </w:r>
      <w:r>
        <w:t xml:space="preserve">er høy for bykommuner med moden renovasjonsinfrastruktur, men svakere i spredtbygde områder der tettsteder, pickup-frekvens og håndheving er mindre gunstige.</w:t>
      </w:r>
      <w:r>
        <w:t xml:space="preserve"> </w:t>
      </w:r>
      <w:hyperlink r:id="rId24">
        <w:r>
          <w:rPr>
            <w:rStyle w:val="Hyperlink"/>
          </w:rPr>
          <w:t xml:space="preserve">[3]</w:t>
        </w:r>
      </w:hyperlink>
    </w:p>
    <w:p>
      <w:pPr>
        <w:pStyle w:val="BodyText"/>
      </w:pPr>
      <w:r>
        <w:rPr>
          <w:b/>
          <w:bCs/>
        </w:rPr>
        <w:t xml:space="preserve">Garot-loven i Frankrike</w:t>
      </w:r>
      <w:hyperlink r:id="rId25">
        <w:r>
          <w:rPr>
            <w:rStyle w:val="Hyperlink"/>
            <w:b/>
            <w:bCs/>
          </w:rPr>
          <w:t xml:space="preserve">[4]</w:t>
        </w:r>
      </w:hyperlink>
      <w:r>
        <w:t xml:space="preserve"> </w:t>
      </w:r>
      <w:r>
        <w:t xml:space="preserve">—</w:t>
      </w:r>
      <w:r>
        <w:t xml:space="preserve"> </w:t>
      </w:r>
      <w:r>
        <w:rPr>
          <w:b/>
          <w:bCs/>
        </w:rPr>
        <w:t xml:space="preserve">Tiltaket</w:t>
      </w:r>
      <w:r>
        <w:t xml:space="preserve"> </w:t>
      </w:r>
      <w:r>
        <w:t xml:space="preserve">var lov 2016-138, som påla supermarkeder over 400 m² å inngå donasjonsavtaler og forbød å ødelegge spiselig overskuddsmat, innen en tydelig handlingshierarki for matsvinn.</w:t>
      </w:r>
      <w:r>
        <w:t xml:space="preserve"> </w:t>
      </w:r>
      <w:r>
        <w:rPr>
          <w:b/>
          <w:bCs/>
        </w:rPr>
        <w:t xml:space="preserve">Eierskap/drift</w:t>
      </w:r>
      <w:r>
        <w:t xml:space="preserve"> </w:t>
      </w:r>
      <w:r>
        <w:t xml:space="preserve">lå hos staten, men gjennomføring krevde nye rutiner hos dagligvarekjedene og mottakskapasitet hos hjelpetiltak og matbanker.</w:t>
      </w:r>
      <w:r>
        <w:t xml:space="preserve"> </w:t>
      </w:r>
      <w:r>
        <w:rPr>
          <w:b/>
          <w:bCs/>
        </w:rPr>
        <w:t xml:space="preserve">Geografi og skala</w:t>
      </w:r>
      <w:r>
        <w:t xml:space="preserve"> </w:t>
      </w:r>
      <w:r>
        <w:t xml:space="preserve">var nasjonal i detaljhandelen.</w:t>
      </w:r>
      <w:r>
        <w:t xml:space="preserve"> </w:t>
      </w:r>
      <w:r>
        <w:rPr>
          <w:b/>
          <w:bCs/>
        </w:rPr>
        <w:t xml:space="preserve">Dokumenterte resultater</w:t>
      </w:r>
      <w:r>
        <w:t xml:space="preserve"> </w:t>
      </w:r>
      <w:r>
        <w:t xml:space="preserve">viser at ADEME i et panel på ti butikker målte 22 prosent reduksjon i matsvinn på tre måneder, tilsvarende 160 tonn spart per år og rundt 70 000 euro i årlige besparelser per butikk dersom effekten skaleres, mens OECD beskriver loven som et anker i en bredere fransk matsvinnpolitikk.</w:t>
      </w:r>
      <w:r>
        <w:t xml:space="preserve"> </w:t>
      </w:r>
      <w:r>
        <w:rPr>
          <w:b/>
          <w:bCs/>
        </w:rPr>
        <w:t xml:space="preserve">Barrierene</w:t>
      </w:r>
      <w:r>
        <w:t xml:space="preserve"> </w:t>
      </w:r>
      <w:r>
        <w:t xml:space="preserve">var at retail bare utgjør en del av total matsvinnmengde, og at logistikk- og kjølekjedeansvar kan skyves over på veldedige organisasjoner dersom systemet blir dårlig designet.</w:t>
      </w:r>
      <w:r>
        <w:t xml:space="preserve"> </w:t>
      </w:r>
      <w:r>
        <w:rPr>
          <w:b/>
          <w:bCs/>
        </w:rPr>
        <w:t xml:space="preserve">Overførbarheten til Norden</w:t>
      </w:r>
      <w:r>
        <w:t xml:space="preserve"> </w:t>
      </w:r>
      <w:r>
        <w:t xml:space="preserve">er god fordi dagligvaremarkedet er konsentrert og kommunal/logistisk kapasitet er høy, men caset fungerer best når lovkrav kobles til data, mottaksinfrastruktur og veiledning.</w:t>
      </w:r>
      <w:r>
        <w:t xml:space="preserve"> </w:t>
      </w:r>
      <w:hyperlink r:id="rId26">
        <w:r>
          <w:rPr>
            <w:rStyle w:val="Hyperlink"/>
          </w:rPr>
          <w:t xml:space="preserve">[5]</w:t>
        </w:r>
      </w:hyperlink>
    </w:p>
    <w:p>
      <w:pPr>
        <w:pStyle w:val="BodyText"/>
      </w:pPr>
      <w:r>
        <w:rPr>
          <w:b/>
          <w:bCs/>
        </w:rPr>
        <w:t xml:space="preserve">Too Good To Go</w:t>
      </w:r>
      <w:hyperlink r:id="rId23">
        <w:r>
          <w:rPr>
            <w:rStyle w:val="Hyperlink"/>
            <w:b/>
            <w:bCs/>
          </w:rPr>
          <w:t xml:space="preserve">[6]</w:t>
        </w:r>
      </w:hyperlink>
      <w:r>
        <w:t xml:space="preserve"> </w:t>
      </w:r>
      <w:r>
        <w:t xml:space="preserve">—</w:t>
      </w:r>
      <w:r>
        <w:t xml:space="preserve"> </w:t>
      </w:r>
      <w:r>
        <w:rPr>
          <w:b/>
          <w:bCs/>
        </w:rPr>
        <w:t xml:space="preserve">Tiltaket</w:t>
      </w:r>
      <w:r>
        <w:t xml:space="preserve"> </w:t>
      </w:r>
      <w:r>
        <w:t xml:space="preserve">var å bygge en digital markedsplass for overskuddsmat gjennom “surprise bags”, senere utvidet med direkte pakker fra produsenter og grossister og med datomerkingstiltak som “Look-Smell-Taste”.</w:t>
      </w:r>
      <w:r>
        <w:t xml:space="preserve"> </w:t>
      </w:r>
      <w:r>
        <w:rPr>
          <w:b/>
          <w:bCs/>
        </w:rPr>
        <w:t xml:space="preserve">Eierskap/drift</w:t>
      </w:r>
      <w:r>
        <w:t xml:space="preserve"> </w:t>
      </w:r>
      <w:r>
        <w:t xml:space="preserve">ligger hos selskapet selv, men modellen er drevet av partnerskap med dagligvare, servering og merkevarer.</w:t>
      </w:r>
      <w:r>
        <w:t xml:space="preserve"> </w:t>
      </w:r>
      <w:r>
        <w:rPr>
          <w:b/>
          <w:bCs/>
        </w:rPr>
        <w:t xml:space="preserve">Geografi og skala</w:t>
      </w:r>
      <w:r>
        <w:t xml:space="preserve"> </w:t>
      </w:r>
      <w:r>
        <w:t xml:space="preserve">er internasjonal: 120 millioner registrerte brukere, 180 000 aktive partnere og virksomhet i 20 land.</w:t>
      </w:r>
      <w:r>
        <w:t xml:space="preserve"> </w:t>
      </w:r>
      <w:r>
        <w:rPr>
          <w:b/>
          <w:bCs/>
        </w:rPr>
        <w:t xml:space="preserve">Dokumenterte resultater</w:t>
      </w:r>
      <w:r>
        <w:t xml:space="preserve"> </w:t>
      </w:r>
      <w:r>
        <w:t xml:space="preserve">er over 500 millioner reddede måltider og om lag 1,35 millioner tonn unngåtte CO2e-utslipp; i tillegg har selskapet flyttet praksis rundt “best før”-datoer ved å få merkevarer til å innføre sansebasert merking.</w:t>
      </w:r>
      <w:r>
        <w:t xml:space="preserve"> </w:t>
      </w:r>
      <w:r>
        <w:rPr>
          <w:b/>
          <w:bCs/>
        </w:rPr>
        <w:t xml:space="preserve">Barrierene</w:t>
      </w:r>
      <w:r>
        <w:t xml:space="preserve"> </w:t>
      </w:r>
      <w:r>
        <w:t xml:space="preserve">er at modellen kommer sent i verdikjeden og derfor ikke alene løser overproduksjon, og enkelte forskere peker på at slike apper også kan normalisere overskudd dersom de ikke kombineres med forebyggende tiltak.</w:t>
      </w:r>
      <w:r>
        <w:t xml:space="preserve"> </w:t>
      </w:r>
      <w:r>
        <w:rPr>
          <w:b/>
          <w:bCs/>
        </w:rPr>
        <w:t xml:space="preserve">Overførbarheten til Norden</w:t>
      </w:r>
      <w:r>
        <w:t xml:space="preserve"> </w:t>
      </w:r>
      <w:r>
        <w:t xml:space="preserve">er svært høy i urbane områder; i mindre markeder må lønnsomheten støttes av tettere partnerskap eller kommunal koordinering.</w:t>
      </w:r>
      <w:r>
        <w:t xml:space="preserve"> </w:t>
      </w:r>
      <w:hyperlink r:id="rId27">
        <w:r>
          <w:rPr>
            <w:rStyle w:val="Hyperlink"/>
          </w:rPr>
          <w:t xml:space="preserve">[7]</w:t>
        </w:r>
      </w:hyperlink>
    </w:p>
    <w:p>
      <w:pPr>
        <w:pStyle w:val="BodyText"/>
      </w:pPr>
      <w:r>
        <w:rPr>
          <w:b/>
          <w:bCs/>
        </w:rPr>
        <w:t xml:space="preserve">REKO-modellen, startet av Thomas Snellman</w:t>
      </w:r>
      <w:hyperlink r:id="rId26">
        <w:r>
          <w:rPr>
            <w:rStyle w:val="Hyperlink"/>
            <w:b/>
            <w:bCs/>
          </w:rPr>
          <w:t xml:space="preserve">[8]</w:t>
        </w:r>
      </w:hyperlink>
      <w:r>
        <w:rPr>
          <w:b/>
          <w:bCs/>
        </w:rPr>
        <w:t xml:space="preserve"> </w:t>
      </w:r>
      <w:r>
        <w:rPr>
          <w:b/>
          <w:bCs/>
        </w:rPr>
        <w:t xml:space="preserve">i Finland</w:t>
      </w:r>
      <w:hyperlink r:id="rId21">
        <w:r>
          <w:rPr>
            <w:rStyle w:val="Hyperlink"/>
            <w:b/>
            <w:bCs/>
          </w:rPr>
          <w:t xml:space="preserve">[9]</w:t>
        </w:r>
      </w:hyperlink>
      <w:r>
        <w:t xml:space="preserve"> </w:t>
      </w:r>
      <w:r>
        <w:t xml:space="preserve">—</w:t>
      </w:r>
      <w:r>
        <w:t xml:space="preserve"> </w:t>
      </w:r>
      <w:r>
        <w:rPr>
          <w:b/>
          <w:bCs/>
        </w:rPr>
        <w:t xml:space="preserve">Tiltaket</w:t>
      </w:r>
      <w:r>
        <w:t xml:space="preserve"> </w:t>
      </w:r>
      <w:r>
        <w:t xml:space="preserve">var et lavkost digitalt forhåndsbestillings- og utleveringssystem der produsenter selger direkte til forbrukere via lukkede Facebook-grupper uten mellomledd.</w:t>
      </w:r>
      <w:r>
        <w:t xml:space="preserve"> </w:t>
      </w:r>
      <w:r>
        <w:rPr>
          <w:b/>
          <w:bCs/>
        </w:rPr>
        <w:t xml:space="preserve">Eierskap/drift</w:t>
      </w:r>
      <w:r>
        <w:t xml:space="preserve"> </w:t>
      </w:r>
      <w:r>
        <w:t xml:space="preserve">er desentralisert og frivillig, gjennom lokale administratorer og produsenter.</w:t>
      </w:r>
      <w:r>
        <w:t xml:space="preserve"> </w:t>
      </w:r>
      <w:r>
        <w:rPr>
          <w:b/>
          <w:bCs/>
        </w:rPr>
        <w:t xml:space="preserve">Geografi og skala</w:t>
      </w:r>
      <w:r>
        <w:t xml:space="preserve"> </w:t>
      </w:r>
      <w:r>
        <w:t xml:space="preserve">er betydelig: modellen startet i Österbotten i 2013, spredte seg raskt til Sverige og andre land, og i Sverige fantes rundt 220 REKO-ringer med cirka 800 000 gruppemedlemmer i 2021.</w:t>
      </w:r>
      <w:r>
        <w:t xml:space="preserve"> </w:t>
      </w:r>
      <w:r>
        <w:rPr>
          <w:b/>
          <w:bCs/>
        </w:rPr>
        <w:t xml:space="preserve">Dokumenterte resultater</w:t>
      </w:r>
      <w:r>
        <w:t xml:space="preserve"> </w:t>
      </w:r>
      <w:r>
        <w:t xml:space="preserve">er at modellen har etablert et stabilt direktesalgskanal for småskala produsenter, med svært lave transaksjonskostnader og sterk “re-connection” mellom produsent og kunde; den største ringen er omtalt med rundt 5 000 forbrukere og 50 produsenter.</w:t>
      </w:r>
      <w:r>
        <w:t xml:space="preserve"> </w:t>
      </w:r>
      <w:r>
        <w:rPr>
          <w:b/>
          <w:bCs/>
        </w:rPr>
        <w:t xml:space="preserve">Barrierene</w:t>
      </w:r>
      <w:r>
        <w:t xml:space="preserve"> </w:t>
      </w:r>
      <w:r>
        <w:t xml:space="preserve">er frivillig administrasjon, manuell koordinering, og betydelig avhengighet av Facebook som plattform.</w:t>
      </w:r>
      <w:r>
        <w:t xml:space="preserve"> </w:t>
      </w:r>
      <w:r>
        <w:rPr>
          <w:b/>
          <w:bCs/>
        </w:rPr>
        <w:t xml:space="preserve">Overførbarheten til Norden</w:t>
      </w:r>
      <w:r>
        <w:t xml:space="preserve"> </w:t>
      </w:r>
      <w:r>
        <w:t xml:space="preserve">er meget høy, særlig i peri-urbane og rurale områder; det som begrenser oppskalering er ikke kultur, men behovet for bedre betaling, sporing og mer robust plattformstyring.</w:t>
      </w:r>
      <w:r>
        <w:t xml:space="preserve"> </w:t>
      </w:r>
      <w:hyperlink r:id="rId28">
        <w:r>
          <w:rPr>
            <w:rStyle w:val="Hyperlink"/>
          </w:rPr>
          <w:t xml:space="preserve">[10]</w:t>
        </w:r>
      </w:hyperlink>
    </w:p>
    <w:p>
      <w:pPr>
        <w:pStyle w:val="BodyText"/>
      </w:pPr>
      <w:r>
        <w:t xml:space="preserve">På matsvinn og distribusjon er hovedlæringen at de sterkeste casene ikke velger mellom regulering og marked. Sør-Korea og Frankrike viser at regulering virker når den gjør ny praksis obligatorisk, mens Too Good To Go og REKO viser at markeds- og plattformmodeller virker når de gjør ny praksis enkel og økonomisk attraktiv.</w:t>
      </w:r>
      <w:r>
        <w:t xml:space="preserve"> </w:t>
      </w:r>
      <w:hyperlink r:id="rId29">
        <w:r>
          <w:rPr>
            <w:rStyle w:val="Hyperlink"/>
          </w:rPr>
          <w:t xml:space="preserve">[11]</w:t>
        </w:r>
      </w:hyperlink>
    </w:p>
    <w:bookmarkEnd w:id="30"/>
    <w:bookmarkStart w:id="38" w:name="Xd4314b9c3d3b4cc0dd6682ab0eb14ba9c6f89a5"/>
    <w:p>
      <w:pPr>
        <w:pStyle w:val="Heading2"/>
      </w:pPr>
      <w:r>
        <w:t xml:space="preserve">Cases som har flyttet protein og sidestrømmer</w:t>
      </w:r>
    </w:p>
    <w:p>
      <w:pPr>
        <w:pStyle w:val="FirstParagraph"/>
      </w:pPr>
      <w:r>
        <w:rPr>
          <w:b/>
          <w:bCs/>
        </w:rPr>
        <w:t xml:space="preserve">Den danske plantefonden, Plantefonden</w:t>
      </w:r>
      <w:hyperlink r:id="rId31">
        <w:r>
          <w:rPr>
            <w:rStyle w:val="Hyperlink"/>
            <w:b/>
            <w:bCs/>
          </w:rPr>
          <w:t xml:space="preserve">[12]</w:t>
        </w:r>
      </w:hyperlink>
      <w:r>
        <w:t xml:space="preserve"> </w:t>
      </w:r>
      <w:r>
        <w:t xml:space="preserve">—</w:t>
      </w:r>
      <w:r>
        <w:t xml:space="preserve"> </w:t>
      </w:r>
      <w:r>
        <w:rPr>
          <w:b/>
          <w:bCs/>
        </w:rPr>
        <w:t xml:space="preserve">Tiltaket</w:t>
      </w:r>
      <w:r>
        <w:t xml:space="preserve"> </w:t>
      </w:r>
      <w:r>
        <w:t xml:space="preserve">var et nasjonalt fond og handlingsplan for plantebaserte matvarer som finansierer hele verdikjeden fra gård og foredling til utdanning, produktutvikling og etterspørsel.</w:t>
      </w:r>
      <w:r>
        <w:t xml:space="preserve"> </w:t>
      </w:r>
      <w:r>
        <w:rPr>
          <w:b/>
          <w:bCs/>
        </w:rPr>
        <w:t xml:space="preserve">Eierskap/drift</w:t>
      </w:r>
      <w:r>
        <w:t xml:space="preserve"> </w:t>
      </w:r>
      <w:r>
        <w:t xml:space="preserve">ligger i en lovforankret dansk ordning etablert etter den grønne landbruksavtalen, administrert gjennom fondet.</w:t>
      </w:r>
      <w:r>
        <w:t xml:space="preserve"> </w:t>
      </w:r>
      <w:r>
        <w:rPr>
          <w:b/>
          <w:bCs/>
        </w:rPr>
        <w:t xml:space="preserve">Geografi og skala</w:t>
      </w:r>
      <w:r>
        <w:t xml:space="preserve"> </w:t>
      </w:r>
      <w:r>
        <w:t xml:space="preserve">er nasjonal.</w:t>
      </w:r>
      <w:r>
        <w:t xml:space="preserve"> </w:t>
      </w:r>
      <w:r>
        <w:rPr>
          <w:b/>
          <w:bCs/>
        </w:rPr>
        <w:t xml:space="preserve">Dokumenterte resultater</w:t>
      </w:r>
      <w:r>
        <w:t xml:space="preserve"> </w:t>
      </w:r>
      <w:r>
        <w:t xml:space="preserve">er først og fremst kapitalflyt: fondet var opprinnelig satt til 675 millioner DKK for 2023–2030, og de tre første årene 2023–2025 viser 116 prosjektbevilgninger og cirka 393,8 millioner DKK i tilsagn.</w:t>
      </w:r>
      <w:r>
        <w:t xml:space="preserve"> </w:t>
      </w:r>
      <w:r>
        <w:rPr>
          <w:b/>
          <w:bCs/>
        </w:rPr>
        <w:t xml:space="preserve">Barrierene</w:t>
      </w:r>
      <w:r>
        <w:t xml:space="preserve"> </w:t>
      </w:r>
      <w:r>
        <w:t xml:space="preserve">er at effektmålingen fortsatt bygges opp, slik at ordningen per i dag dokumenterer kapitalmobilisering tydeligere enn endelig forbrukerskifte.</w:t>
      </w:r>
      <w:r>
        <w:t xml:space="preserve"> </w:t>
      </w:r>
      <w:r>
        <w:rPr>
          <w:b/>
          <w:bCs/>
        </w:rPr>
        <w:t xml:space="preserve">Overførbarheten til Norden</w:t>
      </w:r>
      <w:r>
        <w:t xml:space="preserve"> </w:t>
      </w:r>
      <w:r>
        <w:t xml:space="preserve">er svært høy fordi caset allerede er designet for et nordisk institusjonelt landskap med sterke offentlige virkemidler og tverrpolitisk forankring.</w:t>
      </w:r>
      <w:r>
        <w:t xml:space="preserve"> </w:t>
      </w:r>
      <w:hyperlink r:id="rId32">
        <w:r>
          <w:rPr>
            <w:rStyle w:val="Hyperlink"/>
          </w:rPr>
          <w:t xml:space="preserve">[13]</w:t>
        </w:r>
      </w:hyperlink>
    </w:p>
    <w:p>
      <w:pPr>
        <w:pStyle w:val="BodyText"/>
      </w:pPr>
      <w:r>
        <w:rPr>
          <w:b/>
          <w:bCs/>
        </w:rPr>
        <w:t xml:space="preserve">Regulatorisk rammeverk for novel foods hos Singapore Food Agency</w:t>
      </w:r>
      <w:hyperlink r:id="rId33">
        <w:r>
          <w:rPr>
            <w:rStyle w:val="Hyperlink"/>
            <w:b/>
            <w:bCs/>
          </w:rPr>
          <w:t xml:space="preserve">[14]</w:t>
        </w:r>
      </w:hyperlink>
      <w:r>
        <w:rPr>
          <w:b/>
          <w:bCs/>
        </w:rPr>
        <w:t xml:space="preserve"> </w:t>
      </w:r>
      <w:r>
        <w:rPr>
          <w:b/>
          <w:bCs/>
        </w:rPr>
        <w:t xml:space="preserve">i Singapore</w:t>
      </w:r>
      <w:hyperlink r:id="rId34">
        <w:r>
          <w:rPr>
            <w:rStyle w:val="Hyperlink"/>
            <w:b/>
            <w:bCs/>
          </w:rPr>
          <w:t xml:space="preserve">[15]</w:t>
        </w:r>
      </w:hyperlink>
      <w:r>
        <w:t xml:space="preserve"> </w:t>
      </w:r>
      <w:r>
        <w:t xml:space="preserve">—</w:t>
      </w:r>
      <w:r>
        <w:t xml:space="preserve"> </w:t>
      </w:r>
      <w:r>
        <w:rPr>
          <w:b/>
          <w:bCs/>
        </w:rPr>
        <w:t xml:space="preserve">Tiltaket</w:t>
      </w:r>
      <w:r>
        <w:t xml:space="preserve"> </w:t>
      </w:r>
      <w:r>
        <w:t xml:space="preserve">var et forhåndsgodkjenningssystem for novel foods som åpnet en konkret vei til marked for dyrket kjøtt og fermenteringsbaserte proteiner.</w:t>
      </w:r>
      <w:r>
        <w:t xml:space="preserve"> </w:t>
      </w:r>
      <w:r>
        <w:rPr>
          <w:b/>
          <w:bCs/>
        </w:rPr>
        <w:t xml:space="preserve">Eierskap/drift</w:t>
      </w:r>
      <w:r>
        <w:t xml:space="preserve"> </w:t>
      </w:r>
      <w:r>
        <w:t xml:space="preserve">ligger hos mattilsynsmyndighetene og staten.</w:t>
      </w:r>
      <w:r>
        <w:t xml:space="preserve"> </w:t>
      </w:r>
      <w:r>
        <w:rPr>
          <w:b/>
          <w:bCs/>
        </w:rPr>
        <w:t xml:space="preserve">Geografi og skala</w:t>
      </w:r>
      <w:r>
        <w:t xml:space="preserve"> </w:t>
      </w:r>
      <w:r>
        <w:t xml:space="preserve">er nasjonal, men med global signaleffekt; per 17. mars 2026 hadde myndighetene publisert en liste med 14 godkjente novel foods, inkludert fire dyrkede kjøttprodukter og flere fermenteringsbaserte ingredienser.</w:t>
      </w:r>
      <w:r>
        <w:t xml:space="preserve"> </w:t>
      </w:r>
      <w:r>
        <w:rPr>
          <w:b/>
          <w:bCs/>
        </w:rPr>
        <w:t xml:space="preserve">Dokumenterte resultater</w:t>
      </w:r>
      <w:r>
        <w:t xml:space="preserve"> </w:t>
      </w:r>
      <w:r>
        <w:t xml:space="preserve">er at caset faktisk flyttet policy ved å skape verdens første kommersielle regulatoriske løype for denne klassen produkter, som igjen utløste FoU- og investeringsinteresse internasjonalt.</w:t>
      </w:r>
      <w:r>
        <w:t xml:space="preserve"> </w:t>
      </w:r>
      <w:r>
        <w:rPr>
          <w:b/>
          <w:bCs/>
        </w:rPr>
        <w:t xml:space="preserve">Barrierene</w:t>
      </w:r>
      <w:r>
        <w:t xml:space="preserve"> </w:t>
      </w:r>
      <w:r>
        <w:t xml:space="preserve">har vært høye produksjonskostnader og svakere forbrukeradopsjon enn forventet; dette var en del av bakteppet da Singapore gikk bort fra det opprinnelige “30 by 30”-målet og erstattet det med mer målrettede 2035-mål for fiber og protein.</w:t>
      </w:r>
      <w:r>
        <w:t xml:space="preserve"> </w:t>
      </w:r>
      <w:r>
        <w:rPr>
          <w:b/>
          <w:bCs/>
        </w:rPr>
        <w:t xml:space="preserve">Overførbarheten til Norden</w:t>
      </w:r>
      <w:r>
        <w:t xml:space="preserve"> </w:t>
      </w:r>
      <w:r>
        <w:t xml:space="preserve">er høy som regulatorisk benchmark, men lavere som produksjonsbenchmark fordi Singapore driver under helt særegne areal- og forsyningssikkerhetsforhold.</w:t>
      </w:r>
      <w:r>
        <w:t xml:space="preserve"> </w:t>
      </w:r>
      <w:hyperlink r:id="rId33">
        <w:r>
          <w:rPr>
            <w:rStyle w:val="Hyperlink"/>
          </w:rPr>
          <w:t xml:space="preserve">[16]</w:t>
        </w:r>
      </w:hyperlink>
    </w:p>
    <w:p>
      <w:pPr>
        <w:pStyle w:val="BodyText"/>
      </w:pPr>
      <w:r>
        <w:rPr>
          <w:b/>
          <w:bCs/>
        </w:rPr>
        <w:t xml:space="preserve">PeelPioneers</w:t>
      </w:r>
      <w:hyperlink r:id="rId26">
        <w:r>
          <w:rPr>
            <w:rStyle w:val="Hyperlink"/>
            <w:b/>
            <w:bCs/>
          </w:rPr>
          <w:t xml:space="preserve">[17]</w:t>
        </w:r>
      </w:hyperlink>
      <w:r>
        <w:rPr>
          <w:b/>
          <w:bCs/>
        </w:rPr>
        <w:t xml:space="preserve"> </w:t>
      </w:r>
      <w:r>
        <w:rPr>
          <w:b/>
          <w:bCs/>
        </w:rPr>
        <w:t xml:space="preserve">i Nederland</w:t>
      </w:r>
      <w:hyperlink r:id="rId24">
        <w:r>
          <w:rPr>
            <w:rStyle w:val="Hyperlink"/>
            <w:b/>
            <w:bCs/>
          </w:rPr>
          <w:t xml:space="preserve">[18]</w:t>
        </w:r>
      </w:hyperlink>
      <w:r>
        <w:t xml:space="preserve"> </w:t>
      </w:r>
      <w:r>
        <w:t xml:space="preserve">—</w:t>
      </w:r>
      <w:r>
        <w:t xml:space="preserve"> </w:t>
      </w:r>
      <w:r>
        <w:rPr>
          <w:b/>
          <w:bCs/>
        </w:rPr>
        <w:t xml:space="preserve">Tiltaket</w:t>
      </w:r>
      <w:r>
        <w:t xml:space="preserve"> </w:t>
      </w:r>
      <w:r>
        <w:t xml:space="preserve">var å samle inn sitrusskall fra dagligvare og horeca og foredle dem til olje, fiber og andre ingredienser for mat, kosmetikk og rengjøring.</w:t>
      </w:r>
      <w:r>
        <w:t xml:space="preserve"> </w:t>
      </w:r>
      <w:r>
        <w:rPr>
          <w:b/>
          <w:bCs/>
        </w:rPr>
        <w:t xml:space="preserve">Eierskap/drift</w:t>
      </w:r>
      <w:r>
        <w:t xml:space="preserve"> </w:t>
      </w:r>
      <w:r>
        <w:t xml:space="preserve">ligger hos selskapet selv, i partnerskap med butikker, logistikk og investorer.</w:t>
      </w:r>
      <w:r>
        <w:t xml:space="preserve"> </w:t>
      </w:r>
      <w:r>
        <w:rPr>
          <w:b/>
          <w:bCs/>
        </w:rPr>
        <w:t xml:space="preserve">Geografi og skala</w:t>
      </w:r>
      <w:r>
        <w:t xml:space="preserve"> </w:t>
      </w:r>
      <w:r>
        <w:t xml:space="preserve">er først nederlandsk og nå iberisk; selskapet oppgir over 50 000 kilo skall per dag i dagens anlegg, mens fagkilder beskriver Europas største sitrusskallraffineri med kapasitet opp til 120 000 kilo per dag etter en investering på 10 millioner euro, og rundt 80 prosent av nederlandske supermarkeder med relevant skallstrøm var koblet på i 2022.</w:t>
      </w:r>
      <w:r>
        <w:t xml:space="preserve"> </w:t>
      </w:r>
      <w:r>
        <w:rPr>
          <w:b/>
          <w:bCs/>
        </w:rPr>
        <w:t xml:space="preserve">Dokumenterte resultater</w:t>
      </w:r>
      <w:r>
        <w:t xml:space="preserve"> </w:t>
      </w:r>
      <w:r>
        <w:t xml:space="preserve">er derfor både flyttet praksis og flyttet kapital.</w:t>
      </w:r>
      <w:r>
        <w:t xml:space="preserve"> </w:t>
      </w:r>
      <w:r>
        <w:rPr>
          <w:b/>
          <w:bCs/>
        </w:rPr>
        <w:t xml:space="preserve">Barrierene</w:t>
      </w:r>
      <w:r>
        <w:t xml:space="preserve"> </w:t>
      </w:r>
      <w:r>
        <w:t xml:space="preserve">har vært regulatoriske, ledelsesmessige og forsyningskjederelaterte flaskehalser, og selskapet oppgir selv at innsamling krever minimum 250 kilo per uke for å være økonomisk gjennomførbart.</w:t>
      </w:r>
      <w:r>
        <w:t xml:space="preserve"> </w:t>
      </w:r>
      <w:r>
        <w:rPr>
          <w:b/>
          <w:bCs/>
        </w:rPr>
        <w:t xml:space="preserve">Overførbarheten til Norden</w:t>
      </w:r>
      <w:r>
        <w:t xml:space="preserve"> </w:t>
      </w:r>
      <w:r>
        <w:t xml:space="preserve">er middels på råvaren, fordi citrus ikke er en nordisk styrke, men høy på modellarkitektur: sentralisert innsamling, standardisering, fraksjonering og offtake er svært overførbart til bær-, potet-, bryggeri-, havre- og juice-strømmer.</w:t>
      </w:r>
      <w:r>
        <w:t xml:space="preserve"> </w:t>
      </w:r>
      <w:hyperlink r:id="rId35">
        <w:r>
          <w:rPr>
            <w:rStyle w:val="Hyperlink"/>
          </w:rPr>
          <w:t xml:space="preserve">[19]</w:t>
        </w:r>
      </w:hyperlink>
    </w:p>
    <w:p>
      <w:pPr>
        <w:pStyle w:val="BodyText"/>
      </w:pPr>
      <w:r>
        <w:rPr>
          <w:b/>
          <w:bCs/>
        </w:rPr>
        <w:t xml:space="preserve">Agrain</w:t>
      </w:r>
      <w:hyperlink r:id="rId36">
        <w:r>
          <w:rPr>
            <w:rStyle w:val="Hyperlink"/>
            <w:b/>
            <w:bCs/>
          </w:rPr>
          <w:t xml:space="preserve">[20]</w:t>
        </w:r>
      </w:hyperlink>
      <w:r>
        <w:t xml:space="preserve"> </w:t>
      </w:r>
      <w:r>
        <w:t xml:space="preserve">—</w:t>
      </w:r>
      <w:r>
        <w:t xml:space="preserve"> </w:t>
      </w:r>
      <w:r>
        <w:rPr>
          <w:b/>
          <w:bCs/>
        </w:rPr>
        <w:t xml:space="preserve">Tiltaket</w:t>
      </w:r>
      <w:r>
        <w:t xml:space="preserve"> </w:t>
      </w:r>
      <w:r>
        <w:t xml:space="preserve">var å oppgradere mask fra bryggerier til melingredienser for bakeri, snacks og pasta.</w:t>
      </w:r>
      <w:r>
        <w:t xml:space="preserve"> </w:t>
      </w:r>
      <w:r>
        <w:rPr>
          <w:b/>
          <w:bCs/>
        </w:rPr>
        <w:t xml:space="preserve">Eierskap/drift</w:t>
      </w:r>
      <w:r>
        <w:t xml:space="preserve"> </w:t>
      </w:r>
      <w:r>
        <w:t xml:space="preserve">ligger hos det danske selskapet selv, støttet av investorer og partnere i ingrediens- og bakeriøkosystemet.</w:t>
      </w:r>
      <w:r>
        <w:t xml:space="preserve"> </w:t>
      </w:r>
      <w:r>
        <w:rPr>
          <w:b/>
          <w:bCs/>
        </w:rPr>
        <w:t xml:space="preserve">Geografi og skala</w:t>
      </w:r>
      <w:r>
        <w:t xml:space="preserve"> </w:t>
      </w:r>
      <w:r>
        <w:t xml:space="preserve">er foreløpig selskapsskala, men caset er interessant fordi det går etter en av de største og mest standardiserbare nordiske sidestrømmene.</w:t>
      </w:r>
      <w:r>
        <w:t xml:space="preserve"> </w:t>
      </w:r>
      <w:r>
        <w:rPr>
          <w:b/>
          <w:bCs/>
        </w:rPr>
        <w:t xml:space="preserve">Dokumenterte resultater</w:t>
      </w:r>
      <w:r>
        <w:t xml:space="preserve"> </w:t>
      </w:r>
      <w:r>
        <w:t xml:space="preserve">er at selskapet har hentet 26 millioner DKK i nytt kapitaltilskudd, at ingrediensene kan erstatte vanlig mel i en rekke produkter, og at denne typen erstatning sparer areal og reduserer utslipp sammenlignet med nytt mel.</w:t>
      </w:r>
      <w:r>
        <w:t xml:space="preserve"> </w:t>
      </w:r>
      <w:r>
        <w:rPr>
          <w:b/>
          <w:bCs/>
        </w:rPr>
        <w:t xml:space="preserve">Barrierene</w:t>
      </w:r>
      <w:r>
        <w:t xml:space="preserve"> </w:t>
      </w:r>
      <w:r>
        <w:t xml:space="preserve">ligger i råvarens natur: mask blir fort ødelagt, og fagkilder peker på at bryggerimask ofte må håndteres innen et døgn, noe som gjør logistikk og hurtig foredling avgjørende.</w:t>
      </w:r>
      <w:r>
        <w:t xml:space="preserve"> </w:t>
      </w:r>
      <w:r>
        <w:rPr>
          <w:b/>
          <w:bCs/>
        </w:rPr>
        <w:t xml:space="preserve">Overførbarheten til Norden</w:t>
      </w:r>
      <w:r>
        <w:t xml:space="preserve"> </w:t>
      </w:r>
      <w:r>
        <w:t xml:space="preserve">er høy, fordi bryggeri- og bakeriøkosystemene allerede finnes; det som trengs er industriell mellomprosessering og sikre offtake-avtaler.</w:t>
      </w:r>
      <w:r>
        <w:t xml:space="preserve"> </w:t>
      </w:r>
      <w:hyperlink r:id="rId31">
        <w:r>
          <w:rPr>
            <w:rStyle w:val="Hyperlink"/>
          </w:rPr>
          <w:t xml:space="preserve">[21]</w:t>
        </w:r>
      </w:hyperlink>
    </w:p>
    <w:p>
      <w:pPr>
        <w:pStyle w:val="BodyText"/>
      </w:pPr>
      <w:r>
        <w:t xml:space="preserve">På protein og sidestrømmer er den mest nyttige læringen at tilbudssiden alene ikke er nok. Danmark viser hvordan offentlig kapital kan trekke hele verdikjeden samtidig, Singapore hvordan regulering kan åpne et marked, og PeelPioneers/Agrain hvordan sidestrømmer først blir skalerbare når det finnes industriell mellomprosessering og tydelig kjøperledd.</w:t>
      </w:r>
      <w:r>
        <w:t xml:space="preserve"> </w:t>
      </w:r>
      <w:hyperlink r:id="rId37">
        <w:r>
          <w:rPr>
            <w:rStyle w:val="Hyperlink"/>
          </w:rPr>
          <w:t xml:space="preserve">[22]</w:t>
        </w:r>
      </w:hyperlink>
    </w:p>
    <w:bookmarkEnd w:id="38"/>
    <w:bookmarkStart w:id="40" w:name="Xde6d48f1710e1a71cce43066d5a481854869193"/>
    <w:p>
      <w:pPr>
        <w:pStyle w:val="Heading2"/>
      </w:pPr>
      <w:r>
        <w:t xml:space="preserve">Cases som har flyttet offentlige måltider og regenerativ praksis</w:t>
      </w:r>
    </w:p>
    <w:p>
      <w:pPr>
        <w:pStyle w:val="FirstParagraph"/>
      </w:pPr>
      <w:r>
        <w:rPr>
          <w:b/>
          <w:bCs/>
        </w:rPr>
        <w:t xml:space="preserve">Copenhagen House of Food</w:t>
      </w:r>
      <w:hyperlink r:id="rId28">
        <w:r>
          <w:rPr>
            <w:rStyle w:val="Hyperlink"/>
            <w:b/>
            <w:bCs/>
          </w:rPr>
          <w:t xml:space="preserve">[23]</w:t>
        </w:r>
      </w:hyperlink>
      <w:r>
        <w:rPr>
          <w:b/>
          <w:bCs/>
        </w:rPr>
        <w:t xml:space="preserve"> </w:t>
      </w:r>
      <w:r>
        <w:rPr>
          <w:b/>
          <w:bCs/>
        </w:rPr>
        <w:t xml:space="preserve">i København</w:t>
      </w:r>
      <w:hyperlink r:id="rId36">
        <w:r>
          <w:rPr>
            <w:rStyle w:val="Hyperlink"/>
            <w:b/>
            <w:bCs/>
          </w:rPr>
          <w:t xml:space="preserve">[24]</w:t>
        </w:r>
      </w:hyperlink>
      <w:r>
        <w:t xml:space="preserve"> </w:t>
      </w:r>
      <w:r>
        <w:t xml:space="preserve">—</w:t>
      </w:r>
      <w:r>
        <w:t xml:space="preserve"> </w:t>
      </w:r>
      <w:r>
        <w:rPr>
          <w:b/>
          <w:bCs/>
        </w:rPr>
        <w:t xml:space="preserve">Tiltaket</w:t>
      </w:r>
      <w:r>
        <w:t xml:space="preserve"> </w:t>
      </w:r>
      <w:r>
        <w:t xml:space="preserve">var ikke bare mer økologisk innkjøp, men en full omstilling av offentlige kjøkken gjennom kokketrening, mer råvarebasert matlaging, mindre kjøtt, mindre svinn og nye klimamål i innkjøpene.</w:t>
      </w:r>
      <w:r>
        <w:t xml:space="preserve"> </w:t>
      </w:r>
      <w:r>
        <w:rPr>
          <w:b/>
          <w:bCs/>
        </w:rPr>
        <w:t xml:space="preserve">Eierskap/drift</w:t>
      </w:r>
      <w:r>
        <w:t xml:space="preserve"> </w:t>
      </w:r>
      <w:r>
        <w:t xml:space="preserve">ligger hos kommunen.</w:t>
      </w:r>
      <w:r>
        <w:t xml:space="preserve"> </w:t>
      </w:r>
      <w:r>
        <w:rPr>
          <w:b/>
          <w:bCs/>
        </w:rPr>
        <w:t xml:space="preserve">Geografi og skala</w:t>
      </w:r>
      <w:r>
        <w:t xml:space="preserve"> </w:t>
      </w:r>
      <w:r>
        <w:t xml:space="preserve">er byomfattende, og byen oppgir at omstillingen omfatter titusenvis av måltider daglig og over tusen profesjonelle kjøkken som har fått bistand.</w:t>
      </w:r>
      <w:r>
        <w:t xml:space="preserve"> </w:t>
      </w:r>
      <w:r>
        <w:rPr>
          <w:b/>
          <w:bCs/>
        </w:rPr>
        <w:t xml:space="preserve">Dokumenterte resultater</w:t>
      </w:r>
      <w:r>
        <w:t xml:space="preserve"> </w:t>
      </w:r>
      <w:r>
        <w:t xml:space="preserve">er at byens kjøkken gikk fra rundt 35 til 72 prosent økologisk i snitt innen samme driftsbudsjett, nådde 88 prosent i 2015, og reduserte de matrelaterte utslippene med 17,6 prosent fra 2018 til 2022; nyere bydata peker mot rundt 87,8 prosent økologisk og over 30 prosent CO2-reduksjon i gjennomsnitt.</w:t>
      </w:r>
      <w:r>
        <w:t xml:space="preserve"> </w:t>
      </w:r>
      <w:r>
        <w:rPr>
          <w:b/>
          <w:bCs/>
        </w:rPr>
        <w:t xml:space="preserve">Barrierene</w:t>
      </w:r>
      <w:r>
        <w:t xml:space="preserve"> </w:t>
      </w:r>
      <w:r>
        <w:t xml:space="preserve">var behovet for omfattende kompetansebygging og sterk kjøkkenledelse; merkostnaden ved økologisk mat måtte tas ut gjennom mindre kjøtt, mindre ferdigmat og lavere svinn.</w:t>
      </w:r>
      <w:r>
        <w:t xml:space="preserve"> </w:t>
      </w:r>
      <w:r>
        <w:rPr>
          <w:b/>
          <w:bCs/>
        </w:rPr>
        <w:t xml:space="preserve">Overførbarheten til Norden</w:t>
      </w:r>
      <w:r>
        <w:t xml:space="preserve"> </w:t>
      </w:r>
      <w:r>
        <w:t xml:space="preserve">er svært høy, særlig for kommuner og sykehus som kontrollerer egne kjøkken.</w:t>
      </w:r>
      <w:r>
        <w:t xml:space="preserve"> </w:t>
      </w:r>
      <w:hyperlink r:id="rId36">
        <w:r>
          <w:rPr>
            <w:rStyle w:val="Hyperlink"/>
          </w:rPr>
          <w:t xml:space="preserve">[25]</w:t>
        </w:r>
      </w:hyperlink>
    </w:p>
    <w:p>
      <w:pPr>
        <w:pStyle w:val="BodyText"/>
      </w:pPr>
      <w:r>
        <w:rPr>
          <w:b/>
          <w:bCs/>
        </w:rPr>
        <w:t xml:space="preserve">Diet for a Green Planet i Södertälje</w:t>
      </w:r>
      <w:hyperlink r:id="rId26">
        <w:r>
          <w:rPr>
            <w:rStyle w:val="Hyperlink"/>
            <w:b/>
            <w:bCs/>
          </w:rPr>
          <w:t xml:space="preserve">[26]</w:t>
        </w:r>
      </w:hyperlink>
      <w:r>
        <w:t xml:space="preserve"> </w:t>
      </w:r>
      <w:r>
        <w:t xml:space="preserve">—</w:t>
      </w:r>
      <w:r>
        <w:t xml:space="preserve"> </w:t>
      </w:r>
      <w:r>
        <w:rPr>
          <w:b/>
          <w:bCs/>
        </w:rPr>
        <w:t xml:space="preserve">Tiltaket</w:t>
      </w:r>
      <w:r>
        <w:t xml:space="preserve"> </w:t>
      </w:r>
      <w:r>
        <w:t xml:space="preserve">var en kommunal kostpolitikk som fra 2010 kombinerte fem kriterier: velsmakende og sunn mat, mer økologisk, mindre kjøtt, mer sesong og mindre svinn.</w:t>
      </w:r>
      <w:r>
        <w:t xml:space="preserve"> </w:t>
      </w:r>
      <w:r>
        <w:rPr>
          <w:b/>
          <w:bCs/>
        </w:rPr>
        <w:t xml:space="preserve">Eierskap/drift</w:t>
      </w:r>
      <w:r>
        <w:t xml:space="preserve"> </w:t>
      </w:r>
      <w:r>
        <w:t xml:space="preserve">ligger hos kommunen og den kommunale Diet Unit, som håndterer offentlige måltider.</w:t>
      </w:r>
      <w:r>
        <w:t xml:space="preserve"> </w:t>
      </w:r>
      <w:r>
        <w:rPr>
          <w:b/>
          <w:bCs/>
        </w:rPr>
        <w:t xml:space="preserve">Geografi og skala</w:t>
      </w:r>
      <w:r>
        <w:t xml:space="preserve"> </w:t>
      </w:r>
      <w:r>
        <w:t xml:space="preserve">er lokal, men med høy tetthet av institusjonsmåltider; kommunen har blitt brukt som europeisk referansecase og har rundt 24 000 offentlige måltider per dag.</w:t>
      </w:r>
      <w:r>
        <w:t xml:space="preserve"> </w:t>
      </w:r>
      <w:r>
        <w:rPr>
          <w:b/>
          <w:bCs/>
        </w:rPr>
        <w:t xml:space="preserve">Dokumenterte resultater</w:t>
      </w:r>
      <w:r>
        <w:t xml:space="preserve"> </w:t>
      </w:r>
      <w:r>
        <w:t xml:space="preserve">er at budsjettet ble holdt flatt, blant annet gjennom svinnreduksjon, og nyere analyse viser at kommunens menyer og innkjøp scorer bedre enn et konvensjonelt menyoppsett på samtlige bærekraftsparametre som ble analysert.</w:t>
      </w:r>
      <w:r>
        <w:t xml:space="preserve"> </w:t>
      </w:r>
      <w:r>
        <w:rPr>
          <w:b/>
          <w:bCs/>
        </w:rPr>
        <w:t xml:space="preserve">Barrierene</w:t>
      </w:r>
      <w:r>
        <w:t xml:space="preserve"> </w:t>
      </w:r>
      <w:r>
        <w:t xml:space="preserve">har ligget i koordinering på tvers av forvaltning og leverandørledd, og i at modellen krever høy kommunal styringsevne.</w:t>
      </w:r>
      <w:r>
        <w:t xml:space="preserve"> </w:t>
      </w:r>
      <w:r>
        <w:rPr>
          <w:b/>
          <w:bCs/>
        </w:rPr>
        <w:t xml:space="preserve">Overførbarheten til Norden</w:t>
      </w:r>
      <w:r>
        <w:t xml:space="preserve"> </w:t>
      </w:r>
      <w:r>
        <w:t xml:space="preserve">er høy for kommuner med egen måltidsorganisasjon; den er svakere der måltider er sterkt outsourcet og kostpolitikken ligger spredt i flere sektorer.</w:t>
      </w:r>
      <w:r>
        <w:t xml:space="preserve"> </w:t>
      </w:r>
      <w:hyperlink r:id="rId25">
        <w:r>
          <w:rPr>
            <w:rStyle w:val="Hyperlink"/>
          </w:rPr>
          <w:t xml:space="preserve">[27]</w:t>
        </w:r>
      </w:hyperlink>
    </w:p>
    <w:p>
      <w:pPr>
        <w:pStyle w:val="BodyText"/>
      </w:pPr>
      <w:r>
        <w:rPr>
          <w:b/>
          <w:bCs/>
        </w:rPr>
        <w:t xml:space="preserve">PNAE administrert av FNDE</w:t>
      </w:r>
      <w:hyperlink r:id="rId21">
        <w:r>
          <w:rPr>
            <w:rStyle w:val="Hyperlink"/>
            <w:b/>
            <w:bCs/>
          </w:rPr>
          <w:t xml:space="preserve">[28]</w:t>
        </w:r>
      </w:hyperlink>
      <w:r>
        <w:rPr>
          <w:b/>
          <w:bCs/>
        </w:rPr>
        <w:t xml:space="preserve"> </w:t>
      </w:r>
      <w:r>
        <w:rPr>
          <w:b/>
          <w:bCs/>
        </w:rPr>
        <w:t xml:space="preserve">i Brasil</w:t>
      </w:r>
      <w:hyperlink r:id="rId23">
        <w:r>
          <w:rPr>
            <w:rStyle w:val="Hyperlink"/>
            <w:b/>
            <w:bCs/>
          </w:rPr>
          <w:t xml:space="preserve">[29]</w:t>
        </w:r>
      </w:hyperlink>
      <w:r>
        <w:t xml:space="preserve"> </w:t>
      </w:r>
      <w:r>
        <w:t xml:space="preserve">—</w:t>
      </w:r>
      <w:r>
        <w:t xml:space="preserve"> </w:t>
      </w:r>
      <w:r>
        <w:rPr>
          <w:b/>
          <w:bCs/>
        </w:rPr>
        <w:t xml:space="preserve">Tiltaket</w:t>
      </w:r>
      <w:r>
        <w:t xml:space="preserve"> </w:t>
      </w:r>
      <w:r>
        <w:t xml:space="preserve">var å gjøre skolemat til en universell rettighet og samtidig bruke anskaffelser som etterspørselsmotor for familielandbruk gjennom 30-prosentregelen i lov 11.947/2009.</w:t>
      </w:r>
      <w:r>
        <w:t xml:space="preserve"> </w:t>
      </w:r>
      <w:r>
        <w:rPr>
          <w:b/>
          <w:bCs/>
        </w:rPr>
        <w:t xml:space="preserve">Eierskap/drift</w:t>
      </w:r>
      <w:r>
        <w:t xml:space="preserve"> </w:t>
      </w:r>
      <w:r>
        <w:t xml:space="preserve">er føderalt i rammeverk, men gjennomføres desentralisert av delstater og kommuner.</w:t>
      </w:r>
      <w:r>
        <w:t xml:space="preserve"> </w:t>
      </w:r>
      <w:r>
        <w:rPr>
          <w:b/>
          <w:bCs/>
        </w:rPr>
        <w:t xml:space="preserve">Geografi og skala</w:t>
      </w:r>
      <w:r>
        <w:t xml:space="preserve"> </w:t>
      </w:r>
      <w:r>
        <w:t xml:space="preserve">er enorm: rundt 40 millioner elever og mer enn 50 millioner daglige måltider.</w:t>
      </w:r>
      <w:r>
        <w:t xml:space="preserve"> </w:t>
      </w:r>
      <w:r>
        <w:rPr>
          <w:b/>
          <w:bCs/>
        </w:rPr>
        <w:t xml:space="preserve">Dokumenterte resultater</w:t>
      </w:r>
      <w:r>
        <w:t xml:space="preserve"> </w:t>
      </w:r>
      <w:r>
        <w:t xml:space="preserve">er både sosialt og markedsmessig sterke: modellen ga et institusjonelt marked med betydelige effekter for over 120 000 familier på landsbygda, og en studie fant at 71,2 prosent av de analyserte kommunene nådde 30-prosentkravet.</w:t>
      </w:r>
      <w:r>
        <w:t xml:space="preserve"> </w:t>
      </w:r>
      <w:r>
        <w:rPr>
          <w:b/>
          <w:bCs/>
        </w:rPr>
        <w:t xml:space="preserve">Barrierene</w:t>
      </w:r>
      <w:r>
        <w:t xml:space="preserve"> </w:t>
      </w:r>
      <w:r>
        <w:t xml:space="preserve">er også tydelige: nyere oppsummeringer viser at omtrent halvparten av kommunene fortsatt ikke oppfyller minimumskravet, noe som peker på logistikk-, kapasitet- og styringsutfordringer.</w:t>
      </w:r>
      <w:r>
        <w:t xml:space="preserve"> </w:t>
      </w:r>
      <w:r>
        <w:rPr>
          <w:b/>
          <w:bCs/>
        </w:rPr>
        <w:t xml:space="preserve">Overførbarheten til Norden</w:t>
      </w:r>
      <w:r>
        <w:t xml:space="preserve"> </w:t>
      </w:r>
      <w:r>
        <w:t xml:space="preserve">er middels: selve anskaffelsesmekanismen er svært relevant, mens skalaen og koblingen til fattigdomsbekjempelse ikke kan kopieres direkte.</w:t>
      </w:r>
      <w:r>
        <w:t xml:space="preserve"> </w:t>
      </w:r>
      <w:hyperlink r:id="rId39">
        <w:r>
          <w:rPr>
            <w:rStyle w:val="Hyperlink"/>
          </w:rPr>
          <w:t xml:space="preserve">[30]</w:t>
        </w:r>
      </w:hyperlink>
    </w:p>
    <w:p>
      <w:pPr>
        <w:pStyle w:val="BodyText"/>
      </w:pPr>
      <w:r>
        <w:rPr>
          <w:b/>
          <w:bCs/>
        </w:rPr>
        <w:t xml:space="preserve">Arla Foods</w:t>
      </w:r>
      <w:hyperlink r:id="rId24">
        <w:r>
          <w:rPr>
            <w:rStyle w:val="Hyperlink"/>
            <w:b/>
            <w:bCs/>
          </w:rPr>
          <w:t xml:space="preserve">[31]</w:t>
        </w:r>
      </w:hyperlink>
      <w:r>
        <w:rPr>
          <w:b/>
          <w:bCs/>
        </w:rPr>
        <w:t xml:space="preserve"> </w:t>
      </w:r>
      <w:r>
        <w:rPr>
          <w:b/>
          <w:bCs/>
        </w:rPr>
        <w:t xml:space="preserve">og FarmAhead</w:t>
      </w:r>
      <w:r>
        <w:t xml:space="preserve"> </w:t>
      </w:r>
      <w:r>
        <w:t xml:space="preserve">—</w:t>
      </w:r>
      <w:r>
        <w:t xml:space="preserve"> </w:t>
      </w:r>
      <w:r>
        <w:rPr>
          <w:b/>
          <w:bCs/>
        </w:rPr>
        <w:t xml:space="preserve">Tiltaket</w:t>
      </w:r>
      <w:r>
        <w:t xml:space="preserve"> </w:t>
      </w:r>
      <w:r>
        <w:t xml:space="preserve">var å bygge klimadata og naturtiltak inn i melkebetalingen gjennom FarmAhead Check og en poengbasert incentivsmodell.</w:t>
      </w:r>
      <w:r>
        <w:t xml:space="preserve"> </w:t>
      </w:r>
      <w:r>
        <w:rPr>
          <w:b/>
          <w:bCs/>
        </w:rPr>
        <w:t xml:space="preserve">Eierskap/drift</w:t>
      </w:r>
      <w:r>
        <w:t xml:space="preserve"> </w:t>
      </w:r>
      <w:r>
        <w:t xml:space="preserve">ligger hos samvirket selv.</w:t>
      </w:r>
      <w:r>
        <w:t xml:space="preserve"> </w:t>
      </w:r>
      <w:r>
        <w:rPr>
          <w:b/>
          <w:bCs/>
        </w:rPr>
        <w:t xml:space="preserve">Geografi og skala</w:t>
      </w:r>
      <w:r>
        <w:t xml:space="preserve"> </w:t>
      </w:r>
      <w:r>
        <w:t xml:space="preserve">er stor: ordningen dekker nesten 8 000 gårder i sju europeiske land, og 99 prosent av melken rapporteres inn i datagrunnlaget.</w:t>
      </w:r>
      <w:r>
        <w:t xml:space="preserve"> </w:t>
      </w:r>
      <w:r>
        <w:rPr>
          <w:b/>
          <w:bCs/>
        </w:rPr>
        <w:t xml:space="preserve">Dokumenterte resultater</w:t>
      </w:r>
      <w:r>
        <w:t xml:space="preserve"> </w:t>
      </w:r>
      <w:r>
        <w:t xml:space="preserve">er uvanlig konkrete for en regenerativ modell: Arla rapporterer 337 millioner euro utbetalt i 2024, en ramme på opptil 500 millioner euro per år, fall i gjennomsnittlig utslippsintensitet fra 1,12 til 1,06 kg CO2e per kg melk mellom 2022 og 2024, og totalt 9,9 prosent reduksjon fra 2020-baseline per kg melk i 2025.</w:t>
      </w:r>
      <w:r>
        <w:t xml:space="preserve"> </w:t>
      </w:r>
      <w:r>
        <w:rPr>
          <w:b/>
          <w:bCs/>
        </w:rPr>
        <w:t xml:space="preserve">Barrierene</w:t>
      </w:r>
      <w:r>
        <w:t xml:space="preserve"> </w:t>
      </w:r>
      <w:r>
        <w:t xml:space="preserve">er datainnsamling, investeringsbehov og legitimitet; modellen er kritisert av enkelte organisasjoner og mindre bønder for å kunne favorisere kapitalsterke gårder og mer intensiv produksjon.</w:t>
      </w:r>
      <w:r>
        <w:t xml:space="preserve"> </w:t>
      </w:r>
      <w:r>
        <w:rPr>
          <w:b/>
          <w:bCs/>
        </w:rPr>
        <w:t xml:space="preserve">Overførbarheten til Norden</w:t>
      </w:r>
      <w:r>
        <w:t xml:space="preserve"> </w:t>
      </w:r>
      <w:r>
        <w:t xml:space="preserve">er høy der sterke samvirker eller store kjøpere kan bruke pris som styringssignal; den er svakere i fragmenterte kjeder uten felles data og avregning.</w:t>
      </w:r>
      <w:r>
        <w:t xml:space="preserve"> </w:t>
      </w:r>
      <w:hyperlink r:id="rId34">
        <w:r>
          <w:rPr>
            <w:rStyle w:val="Hyperlink"/>
          </w:rPr>
          <w:t xml:space="preserve">[32]</w:t>
        </w:r>
      </w:hyperlink>
    </w:p>
    <w:p>
      <w:pPr>
        <w:pStyle w:val="BodyText"/>
      </w:pPr>
      <w:r>
        <w:t xml:space="preserve">Læringen fra denne gruppen case er at offentlige måltider og samvirke-/innkjøpsmodeller er de mest direkte måtene å flytte både praksis og kapital på i nordisk kontekst. De krever ikke nødvendigvis banebrytende teknologi; de krever styrt etterspørsel, trening, måltidsfaglig kompetanse og nye betalingssignaler.</w:t>
      </w:r>
      <w:r>
        <w:t xml:space="preserve"> </w:t>
      </w:r>
      <w:hyperlink r:id="rId21">
        <w:r>
          <w:rPr>
            <w:rStyle w:val="Hyperlink"/>
          </w:rPr>
          <w:t xml:space="preserve">[33]</w:t>
        </w:r>
      </w:hyperlink>
    </w:p>
    <w:bookmarkEnd w:id="40"/>
    <w:bookmarkStart w:id="44" w:name="shortlist-for-benchmark"/>
    <w:p>
      <w:pPr>
        <w:pStyle w:val="Heading2"/>
      </w:pPr>
      <w:r>
        <w:t xml:space="preserve">Shortlist for benchmark</w:t>
      </w:r>
    </w:p>
    <w:p>
      <w:pPr>
        <w:pStyle w:val="FirstParagraph"/>
      </w:pPr>
      <w:r>
        <w:t xml:space="preserve">Denne shortlisten prioriterer case som både har dokumenterte effekter og høy eller middels høy overførbarhet til nordisk kontekst.</w:t>
      </w:r>
    </w:p>
    <w:p>
      <w:pPr>
        <w:pStyle w:val="Compact"/>
        <w:numPr>
          <w:ilvl w:val="0"/>
          <w:numId w:val="1001"/>
        </w:numPr>
      </w:pPr>
      <w:r>
        <w:rPr>
          <w:b/>
          <w:bCs/>
        </w:rPr>
        <w:t xml:space="preserve">Copenhagen House of Food</w:t>
      </w:r>
      <w:r>
        <w:t xml:space="preserve"> </w:t>
      </w:r>
      <w:r>
        <w:t xml:space="preserve">— beste benchmark for kommunal måltidsomstilling med budsjettkontroll, kokketrening og klimamåling.</w:t>
      </w:r>
      <w:r>
        <w:t xml:space="preserve"> </w:t>
      </w:r>
      <w:hyperlink r:id="rId36">
        <w:r>
          <w:rPr>
            <w:rStyle w:val="Hyperlink"/>
          </w:rPr>
          <w:t xml:space="preserve">[34]</w:t>
        </w:r>
      </w:hyperlink>
    </w:p>
    <w:p>
      <w:pPr>
        <w:pStyle w:val="Compact"/>
        <w:numPr>
          <w:ilvl w:val="0"/>
          <w:numId w:val="1001"/>
        </w:numPr>
      </w:pPr>
      <w:r>
        <w:rPr>
          <w:b/>
          <w:bCs/>
        </w:rPr>
        <w:t xml:space="preserve">Södertälje Diet for a Green Planet</w:t>
      </w:r>
      <w:r>
        <w:t xml:space="preserve"> </w:t>
      </w:r>
      <w:r>
        <w:t xml:space="preserve">— beste benchmark for helhetlig meny- og innkjøpsendring i en nordisk kommune med samme budsjett.</w:t>
      </w:r>
      <w:r>
        <w:t xml:space="preserve"> </w:t>
      </w:r>
      <w:hyperlink r:id="rId25">
        <w:r>
          <w:rPr>
            <w:rStyle w:val="Hyperlink"/>
          </w:rPr>
          <w:t xml:space="preserve">[35]</w:t>
        </w:r>
      </w:hyperlink>
    </w:p>
    <w:p>
      <w:pPr>
        <w:pStyle w:val="Compact"/>
        <w:numPr>
          <w:ilvl w:val="0"/>
          <w:numId w:val="1001"/>
        </w:numPr>
      </w:pPr>
      <w:r>
        <w:rPr>
          <w:b/>
          <w:bCs/>
        </w:rPr>
        <w:t xml:space="preserve">Arla FarmAhead</w:t>
      </w:r>
      <w:r>
        <w:t xml:space="preserve"> </w:t>
      </w:r>
      <w:r>
        <w:t xml:space="preserve">— sterkeste benchmark for hvordan en stor kjøper kan flytte kapital til regenerative tiltak gjennom pris- og datamodell.</w:t>
      </w:r>
      <w:r>
        <w:t xml:space="preserve"> </w:t>
      </w:r>
      <w:hyperlink r:id="rId23">
        <w:r>
          <w:rPr>
            <w:rStyle w:val="Hyperlink"/>
          </w:rPr>
          <w:t xml:space="preserve">[36]</w:t>
        </w:r>
      </w:hyperlink>
    </w:p>
    <w:p>
      <w:pPr>
        <w:pStyle w:val="Compact"/>
        <w:numPr>
          <w:ilvl w:val="0"/>
          <w:numId w:val="1001"/>
        </w:numPr>
      </w:pPr>
      <w:r>
        <w:rPr>
          <w:b/>
          <w:bCs/>
        </w:rPr>
        <w:t xml:space="preserve">Plantefonden</w:t>
      </w:r>
      <w:r>
        <w:t xml:space="preserve"> </w:t>
      </w:r>
      <w:r>
        <w:t xml:space="preserve">— beste benchmark for hvordan offentlig kapital kan bygge en plantebasert verdikjede i et nordisk system.</w:t>
      </w:r>
      <w:r>
        <w:t xml:space="preserve"> </w:t>
      </w:r>
      <w:hyperlink r:id="rId32">
        <w:r>
          <w:rPr>
            <w:rStyle w:val="Hyperlink"/>
          </w:rPr>
          <w:t xml:space="preserve">[13]</w:t>
        </w:r>
      </w:hyperlink>
    </w:p>
    <w:p>
      <w:pPr>
        <w:pStyle w:val="Compact"/>
        <w:numPr>
          <w:ilvl w:val="0"/>
          <w:numId w:val="1001"/>
        </w:numPr>
      </w:pPr>
      <w:r>
        <w:rPr>
          <w:b/>
          <w:bCs/>
        </w:rPr>
        <w:t xml:space="preserve">Too Good To Go</w:t>
      </w:r>
      <w:r>
        <w:t xml:space="preserve"> </w:t>
      </w:r>
      <w:r>
        <w:t xml:space="preserve">— beste benchmark for hurtig, skalerbar redistribusjon av overskuddsmat i bymarkeder.</w:t>
      </w:r>
      <w:r>
        <w:t xml:space="preserve"> </w:t>
      </w:r>
      <w:hyperlink r:id="rId27">
        <w:r>
          <w:rPr>
            <w:rStyle w:val="Hyperlink"/>
          </w:rPr>
          <w:t xml:space="preserve">[37]</w:t>
        </w:r>
      </w:hyperlink>
    </w:p>
    <w:p>
      <w:pPr>
        <w:pStyle w:val="Compact"/>
        <w:numPr>
          <w:ilvl w:val="0"/>
          <w:numId w:val="1001"/>
        </w:numPr>
      </w:pPr>
      <w:r>
        <w:rPr>
          <w:b/>
          <w:bCs/>
        </w:rPr>
        <w:t xml:space="preserve">REKO</w:t>
      </w:r>
      <w:r>
        <w:t xml:space="preserve"> </w:t>
      </w:r>
      <w:r>
        <w:t xml:space="preserve">— beste benchmark for lavkapital distribusjon direkte mellom produsent og forbruker i nordiske lokalsamfunn.</w:t>
      </w:r>
      <w:r>
        <w:t xml:space="preserve"> </w:t>
      </w:r>
      <w:hyperlink r:id="rId41">
        <w:r>
          <w:rPr>
            <w:rStyle w:val="Hyperlink"/>
          </w:rPr>
          <w:t xml:space="preserve">[38]</w:t>
        </w:r>
      </w:hyperlink>
    </w:p>
    <w:p>
      <w:pPr>
        <w:pStyle w:val="Compact"/>
        <w:numPr>
          <w:ilvl w:val="0"/>
          <w:numId w:val="1001"/>
        </w:numPr>
      </w:pPr>
      <w:r>
        <w:rPr>
          <w:b/>
          <w:bCs/>
        </w:rPr>
        <w:t xml:space="preserve">Garot-loven i Frankrike</w:t>
      </w:r>
      <w:r>
        <w:t xml:space="preserve"> </w:t>
      </w:r>
      <w:r>
        <w:t xml:space="preserve">— beste benchmark for når matsvinn skal flyttes via plikt, ikke bare frivillighet.</w:t>
      </w:r>
      <w:r>
        <w:t xml:space="preserve"> </w:t>
      </w:r>
      <w:hyperlink r:id="rId26">
        <w:r>
          <w:rPr>
            <w:rStyle w:val="Hyperlink"/>
          </w:rPr>
          <w:t xml:space="preserve">[5]</w:t>
        </w:r>
      </w:hyperlink>
    </w:p>
    <w:p>
      <w:pPr>
        <w:pStyle w:val="Compact"/>
        <w:numPr>
          <w:ilvl w:val="0"/>
          <w:numId w:val="1001"/>
        </w:numPr>
      </w:pPr>
      <w:r>
        <w:rPr>
          <w:b/>
          <w:bCs/>
        </w:rPr>
        <w:t xml:space="preserve">PeelPioneers</w:t>
      </w:r>
      <w:r>
        <w:t xml:space="preserve"> </w:t>
      </w:r>
      <w:r>
        <w:t xml:space="preserve">— beste benchmark for industriell sidestrøm-valorisering med klar kapasitets- og offtakelogikk.</w:t>
      </w:r>
      <w:r>
        <w:t xml:space="preserve"> </w:t>
      </w:r>
      <w:hyperlink r:id="rId42">
        <w:r>
          <w:rPr>
            <w:rStyle w:val="Hyperlink"/>
          </w:rPr>
          <w:t xml:space="preserve">[39]</w:t>
        </w:r>
      </w:hyperlink>
    </w:p>
    <w:p>
      <w:pPr>
        <w:pStyle w:val="Compact"/>
        <w:numPr>
          <w:ilvl w:val="0"/>
          <w:numId w:val="1001"/>
        </w:numPr>
      </w:pPr>
      <w:r>
        <w:rPr>
          <w:b/>
          <w:bCs/>
        </w:rPr>
        <w:t xml:space="preserve">Sør-Koreas PAYT/RFID-modell</w:t>
      </w:r>
      <w:r>
        <w:t xml:space="preserve"> </w:t>
      </w:r>
      <w:r>
        <w:t xml:space="preserve">— beste benchmark for kommunal matsvinnstyring gjennom prissignal og digital infrastruktur.</w:t>
      </w:r>
      <w:r>
        <w:t xml:space="preserve"> </w:t>
      </w:r>
      <w:hyperlink r:id="rId24">
        <w:r>
          <w:rPr>
            <w:rStyle w:val="Hyperlink"/>
          </w:rPr>
          <w:t xml:space="preserve">[40]</w:t>
        </w:r>
      </w:hyperlink>
    </w:p>
    <w:p>
      <w:pPr>
        <w:pStyle w:val="Compact"/>
        <w:numPr>
          <w:ilvl w:val="0"/>
          <w:numId w:val="1001"/>
        </w:numPr>
      </w:pPr>
      <w:r>
        <w:rPr>
          <w:b/>
          <w:bCs/>
        </w:rPr>
        <w:t xml:space="preserve">Brasils PNAE</w:t>
      </w:r>
      <w:r>
        <w:t xml:space="preserve"> </w:t>
      </w:r>
      <w:r>
        <w:t xml:space="preserve">— beste benchmark for å bruke offentlige måltider som markedsmotor for lokale produsenter.</w:t>
      </w:r>
      <w:r>
        <w:t xml:space="preserve"> </w:t>
      </w:r>
      <w:hyperlink r:id="rId43">
        <w:r>
          <w:rPr>
            <w:rStyle w:val="Hyperlink"/>
          </w:rPr>
          <w:t xml:space="preserve">[41]</w:t>
        </w:r>
      </w:hyperlink>
    </w:p>
    <w:p>
      <w:pPr>
        <w:pStyle w:val="FirstParagraph"/>
      </w:pPr>
      <w:r>
        <w:t xml:space="preserve">Som reservecase ville jeg hatt</w:t>
      </w:r>
      <w:r>
        <w:t xml:space="preserve"> </w:t>
      </w:r>
      <w:r>
        <w:rPr>
          <w:b/>
          <w:bCs/>
        </w:rPr>
        <w:t xml:space="preserve">Singapore</w:t>
      </w:r>
      <w:r>
        <w:t xml:space="preserve"> </w:t>
      </w:r>
      <w:r>
        <w:t xml:space="preserve">for regulatorisk læring på novel foods og</w:t>
      </w:r>
      <w:r>
        <w:t xml:space="preserve"> </w:t>
      </w:r>
      <w:r>
        <w:rPr>
          <w:b/>
          <w:bCs/>
        </w:rPr>
        <w:t xml:space="preserve">Agrain</w:t>
      </w:r>
      <w:r>
        <w:t xml:space="preserve"> </w:t>
      </w:r>
      <w:r>
        <w:t xml:space="preserve">for nordisk sidestrømslæring på selskapsnivå. De er viktige, men noe smalere som primære benchmark-case for Food Systems 2026.</w:t>
      </w:r>
      <w:r>
        <w:t xml:space="preserve"> </w:t>
      </w:r>
      <w:hyperlink r:id="rId33">
        <w:r>
          <w:rPr>
            <w:rStyle w:val="Hyperlink"/>
          </w:rPr>
          <w:t xml:space="preserve">[42]</w:t>
        </w:r>
      </w:hyperlink>
    </w:p>
    <w:bookmarkEnd w:id="44"/>
    <w:bookmarkStart w:id="45" w:name="pilottyper-food-systems-2026-bør-vurdere"/>
    <w:p>
      <w:pPr>
        <w:pStyle w:val="Heading2"/>
      </w:pPr>
      <w:r>
        <w:t xml:space="preserve">Pilottyper Food Systems 2026 bør vurdere</w:t>
      </w:r>
    </w:p>
    <w:p>
      <w:pPr>
        <w:pStyle w:val="FirstParagraph"/>
      </w:pPr>
      <w:r>
        <w:rPr>
          <w:b/>
          <w:bCs/>
        </w:rPr>
        <w:t xml:space="preserve">En offentlig måltidspilot med budsjettlås</w:t>
      </w:r>
      <w:r>
        <w:t xml:space="preserve"> </w:t>
      </w:r>
      <w:r>
        <w:t xml:space="preserve">— Dette bør være en pilot der to til tre kommuner, sykehus eller universitetsaktører forplikter seg til å kutte måltidenes klimaavtrykk og matsvinn uten å øke råvarebudsjettet, gjennom kokketrening, menyredesign, mindre rødt kjøtt og bedre svinnmåling. København og Södertälje viser at dette er blant de raskeste og mest styrbare måtene å flytte faktisk praksis på.</w:t>
      </w:r>
      <w:r>
        <w:t xml:space="preserve"> </w:t>
      </w:r>
      <w:hyperlink r:id="rId21">
        <w:r>
          <w:rPr>
            <w:rStyle w:val="Hyperlink"/>
          </w:rPr>
          <w:t xml:space="preserve">[43]</w:t>
        </w:r>
      </w:hyperlink>
    </w:p>
    <w:p>
      <w:pPr>
        <w:pStyle w:val="BodyText"/>
      </w:pPr>
      <w:r>
        <w:rPr>
          <w:b/>
          <w:bCs/>
        </w:rPr>
        <w:t xml:space="preserve">En regional sidestrøm-til-ingredienspilot med offtake først</w:t>
      </w:r>
      <w:r>
        <w:t xml:space="preserve"> </w:t>
      </w:r>
      <w:r>
        <w:t xml:space="preserve">— I stedet for å starte med teknologi alene, bør piloten starte med tre ting samtidig: sikker råvarestrøm, felles foredlingskapasitet og garanterte kjøpere i bakeri, storkjøkken eller dagligvare. PeelPioneers og Agrain viser at sidestrømmer blir reell næringsutvikling først når logistikk og kundeledd er designet inn fra starten.</w:t>
      </w:r>
      <w:r>
        <w:t xml:space="preserve"> </w:t>
      </w:r>
      <w:hyperlink r:id="rId42">
        <w:r>
          <w:rPr>
            <w:rStyle w:val="Hyperlink"/>
          </w:rPr>
          <w:t xml:space="preserve">[44]</w:t>
        </w:r>
      </w:hyperlink>
    </w:p>
    <w:p>
      <w:pPr>
        <w:pStyle w:val="BodyText"/>
      </w:pPr>
      <w:r>
        <w:rPr>
          <w:b/>
          <w:bCs/>
        </w:rPr>
        <w:t xml:space="preserve">En matsvinnstack for retail og servering</w:t>
      </w:r>
      <w:r>
        <w:t xml:space="preserve"> </w:t>
      </w:r>
      <w:r>
        <w:t xml:space="preserve">— Dette bør være en kombinert pilot som kobler overskuddsmarkedsplass, standardisert datomerking, donasjonsprotokoller og kommunal avfallsprising eller svinnrapportering. Frankrike viser hva lov og plikt kan gjøre, Sør-Korea hva prissignaler og data kan gjøre, og Too Good To Go hva redistribusjonskanaler kan gjøre når de skaleres.</w:t>
      </w:r>
      <w:r>
        <w:t xml:space="preserve"> </w:t>
      </w:r>
      <w:hyperlink r:id="rId26">
        <w:r>
          <w:rPr>
            <w:rStyle w:val="Hyperlink"/>
          </w:rPr>
          <w:t xml:space="preserve">[45]</w:t>
        </w:r>
      </w:hyperlink>
    </w:p>
    <w:p>
      <w:pPr>
        <w:pStyle w:val="BodyText"/>
      </w:pPr>
      <w:r>
        <w:rPr>
          <w:b/>
          <w:bCs/>
        </w:rPr>
        <w:t xml:space="preserve">En plantebasert felt-til-gaffel-pilot for etterspørsel og kapital</w:t>
      </w:r>
      <w:r>
        <w:t xml:space="preserve"> </w:t>
      </w:r>
      <w:r>
        <w:t xml:space="preserve">— Dette bør være en pilot der offentlig kapital ikke bare går til produktutvikling, men også til profesjonsutdanning, testkjøkken, innkjøpsforpliktelser og markedsadopsjon. Læringen fra Plantefonden er at verdikjeden må finansieres som et system, ikke som enkeltstående innovasjoner.</w:t>
      </w:r>
      <w:r>
        <w:t xml:space="preserve"> </w:t>
      </w:r>
      <w:hyperlink r:id="rId32">
        <w:r>
          <w:rPr>
            <w:rStyle w:val="Hyperlink"/>
          </w:rPr>
          <w:t xml:space="preserve">[13]</w:t>
        </w:r>
      </w:hyperlink>
    </w:p>
    <w:p>
      <w:pPr>
        <w:pStyle w:val="BodyText"/>
      </w:pPr>
      <w:r>
        <w:rPr>
          <w:b/>
          <w:bCs/>
        </w:rPr>
        <w:t xml:space="preserve">En regenerativ premium-pilot gjennom kjøperledd</w:t>
      </w:r>
      <w:r>
        <w:t xml:space="preserve"> </w:t>
      </w:r>
      <w:r>
        <w:t xml:space="preserve">— Dette bør være en pilot der en meieri-, grønt- eller kornaktør betaler en dokumentert premium for målbare praksiser, med enkel datainnsamling og flerårige kontrakter. Arla viser at dette faktisk kan flytte kapital i stor skala; det viktigste er å gjøre modellen enkel nok til at også mindre produsenter kan delta.</w:t>
      </w:r>
      <w:r>
        <w:t xml:space="preserve"> </w:t>
      </w:r>
      <w:hyperlink r:id="rId23">
        <w:r>
          <w:rPr>
            <w:rStyle w:val="Hyperlink"/>
          </w:rPr>
          <w:t xml:space="preserve">[46]</w:t>
        </w:r>
      </w:hyperlink>
    </w:p>
    <w:bookmarkEnd w:id="45"/>
    <w:bookmarkStart w:id="46" w:name="Xbe45d508d54455e615352af812f9e4683af8bad"/>
    <w:p>
      <w:pPr>
        <w:pStyle w:val="Heading2"/>
      </w:pPr>
      <w:r>
        <w:t xml:space="preserve">Lavthengende frukt og langsiktige strukturgrep</w:t>
      </w:r>
    </w:p>
    <w:p>
      <w:pPr>
        <w:pStyle w:val="FirstParagraph"/>
      </w:pPr>
      <w:r>
        <w:rPr>
          <w:b/>
          <w:bCs/>
        </w:rPr>
        <w:t xml:space="preserve">Lavthengende frukt</w:t>
      </w:r>
      <w:r>
        <w:t xml:space="preserve"> </w:t>
      </w:r>
      <w:r>
        <w:t xml:space="preserve">er tiltak som kan gi tydelige effekter i løpet av 12–24 måneder uten store nye anlegg. Her er offentlig meny- og innkjøpsendring det mest opplagte, sammen med systematisk svinnmåling, datomerking og digitale redistribusjonskanaler. København, Södertälje og Too Good To Go viser at aktører kan få store operasjonelle gevinster raskt når de endrer meny, dagsalg og rutiner heller enn å vente på ny teknologi. REKO er også lavthengende i distrikts- og lokalsamfunn fordi modellen er nesten kapitalfri og rask å teste.</w:t>
      </w:r>
      <w:r>
        <w:t xml:space="preserve"> </w:t>
      </w:r>
      <w:hyperlink r:id="rId21">
        <w:r>
          <w:rPr>
            <w:rStyle w:val="Hyperlink"/>
          </w:rPr>
          <w:t xml:space="preserve">[47]</w:t>
        </w:r>
      </w:hyperlink>
    </w:p>
    <w:p>
      <w:pPr>
        <w:pStyle w:val="BodyText"/>
      </w:pPr>
      <w:r>
        <w:rPr>
          <w:b/>
          <w:bCs/>
        </w:rPr>
        <w:t xml:space="preserve">Mellomlange grep</w:t>
      </w:r>
      <w:r>
        <w:t xml:space="preserve"> </w:t>
      </w:r>
      <w:r>
        <w:t xml:space="preserve">er regional sidestrøm-valorisering og plantebaserte verdikjedepiloter. Disse krever mer koordinering og noe kapital, men de kan fortsatt realiseres innen en treårsperiode dersom råvaregrunnlag, kjøperbehov og foredlingskapasitet er tydelige. PeelPioneers, Agrain og Plantefonden peker i samme retning: det avgjørende er ikke å finne “en god startup”, men å bygge et system der råstoff, prosess, etterspørsel og finansiering møtes i samme design.</w:t>
      </w:r>
      <w:r>
        <w:t xml:space="preserve"> </w:t>
      </w:r>
      <w:hyperlink r:id="rId42">
        <w:r>
          <w:rPr>
            <w:rStyle w:val="Hyperlink"/>
          </w:rPr>
          <w:t xml:space="preserve">[48]</w:t>
        </w:r>
      </w:hyperlink>
    </w:p>
    <w:p>
      <w:pPr>
        <w:pStyle w:val="BodyText"/>
      </w:pPr>
      <w:r>
        <w:rPr>
          <w:b/>
          <w:bCs/>
        </w:rPr>
        <w:t xml:space="preserve">Langsiktige strukturgrep</w:t>
      </w:r>
      <w:r>
        <w:t xml:space="preserve"> </w:t>
      </w:r>
      <w:r>
        <w:t xml:space="preserve">er de som endrer spillereglene: lovkrav for matsvinn og donasjon, kvoter eller kriterier i offentlige anskaffelser, permanente fond for plantebasert og sirkulær omstilling, regulatoriske løp for nye proteiner, og betalingsmodeller som premierer regenerative resultater i leverandørkjeden. Frankrike, Brasil, Singapore og Arla viser at når regelverk eller avregning endres, flyttes ikke bare prosjektaktivitet, men hele investeringsforventningen i markedet. Det er disse grepene som tar lengst tid, men som også har størst sannsynlighet for å flytte kapitalstrømmer permanent.</w:t>
      </w:r>
      <w:r>
        <w:t xml:space="preserve"> </w:t>
      </w:r>
      <w:hyperlink r:id="rId26">
        <w:r>
          <w:rPr>
            <w:rStyle w:val="Hyperlink"/>
          </w:rPr>
          <w:t xml:space="preserve">[49]</w:t>
        </w:r>
      </w:hyperlink>
    </w:p>
    <w:p>
      <w:pPr>
        <w:pStyle w:val="BodyText"/>
      </w:pPr>
      <w:r>
        <w:t xml:space="preserve">Den mest praktiske prioriteringen for Food Systems 2026 er derfor todelt: start med offentlige måltider, svinn og distribusjon som gir raske, målbare resultater, og bruk disse gevinstene til å bygge legitimitet for de mer strukturelle grepene rundt plantebasert kapital, anskaffelsesregler og regenerative incentiver. Casene viser at lavthengende frukt finnes, men også at varig systemsprang først kommer når innkjøp, regulering og kapital trekker i samme retning.</w:t>
      </w:r>
      <w:r>
        <w:t xml:space="preserve"> </w:t>
      </w:r>
      <w:hyperlink r:id="rId21">
        <w:r>
          <w:rPr>
            <w:rStyle w:val="Hyperlink"/>
          </w:rPr>
          <w:t xml:space="preserve">[50]</w:t>
        </w:r>
      </w:hyperlink>
    </w:p>
    <w:bookmarkEnd w:id="46"/>
    <w:bookmarkEnd w:id="47"/>
    <w:bookmarkEnd w:id="48"/>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21">
        <w:r>
          <w:rPr>
            <w:rStyle w:val="Hyperlink"/>
          </w:rPr>
          <w:t xml:space="preserve">[9]</w:t>
        </w:r>
      </w:hyperlink>
      <w:r>
        <w:t xml:space="preserve"> </w:t>
      </w:r>
      <w:hyperlink r:id="rId21">
        <w:r>
          <w:rPr>
            <w:rStyle w:val="Hyperlink"/>
          </w:rPr>
          <w:t xml:space="preserve">[28]</w:t>
        </w:r>
      </w:hyperlink>
      <w:r>
        <w:t xml:space="preserve"> </w:t>
      </w:r>
      <w:hyperlink r:id="rId21">
        <w:r>
          <w:rPr>
            <w:rStyle w:val="Hyperlink"/>
          </w:rPr>
          <w:t xml:space="preserve">[33]</w:t>
        </w:r>
      </w:hyperlink>
      <w:r>
        <w:t xml:space="preserve"> </w:t>
      </w:r>
      <w:hyperlink r:id="rId21">
        <w:r>
          <w:rPr>
            <w:rStyle w:val="Hyperlink"/>
          </w:rPr>
          <w:t xml:space="preserve">[43]</w:t>
        </w:r>
      </w:hyperlink>
      <w:r>
        <w:t xml:space="preserve"> </w:t>
      </w:r>
      <w:hyperlink r:id="rId21">
        <w:r>
          <w:rPr>
            <w:rStyle w:val="Hyperlink"/>
          </w:rPr>
          <w:t xml:space="preserve">[47]</w:t>
        </w:r>
      </w:hyperlink>
      <w:r>
        <w:t xml:space="preserve"> </w:t>
      </w:r>
      <w:hyperlink r:id="rId21">
        <w:r>
          <w:rPr>
            <w:rStyle w:val="Hyperlink"/>
          </w:rPr>
          <w:t xml:space="preserve">[50]</w:t>
        </w:r>
      </w:hyperlink>
      <w:r>
        <w:t xml:space="preserve"> </w:t>
      </w:r>
      <w:r>
        <w:t xml:space="preserve">https://www.c40.org/news/climate-action-starts-on-our-plates/</w:t>
      </w:r>
    </w:p>
    <w:p>
      <w:pPr>
        <w:pStyle w:val="BodyText"/>
      </w:pPr>
      <w:hyperlink r:id="rId21">
        <w:r>
          <w:rPr>
            <w:rStyle w:val="Hyperlink"/>
          </w:rPr>
          <w:t xml:space="preserve">https://www.c40.org/news/climate-action-starts-on-our-plates/</w:t>
        </w:r>
      </w:hyperlink>
    </w:p>
    <w:p>
      <w:pPr>
        <w:pStyle w:val="BodyText"/>
      </w:pPr>
      <w:hyperlink r:id="rId23">
        <w:r>
          <w:rPr>
            <w:rStyle w:val="Hyperlink"/>
          </w:rPr>
          <w:t xml:space="preserve">[2]</w:t>
        </w:r>
      </w:hyperlink>
      <w:r>
        <w:t xml:space="preserve"> </w:t>
      </w:r>
      <w:hyperlink r:id="rId23">
        <w:r>
          <w:rPr>
            <w:rStyle w:val="Hyperlink"/>
          </w:rPr>
          <w:t xml:space="preserve">[6]</w:t>
        </w:r>
      </w:hyperlink>
      <w:r>
        <w:t xml:space="preserve"> </w:t>
      </w:r>
      <w:hyperlink r:id="rId23">
        <w:r>
          <w:rPr>
            <w:rStyle w:val="Hyperlink"/>
          </w:rPr>
          <w:t xml:space="preserve">[29]</w:t>
        </w:r>
      </w:hyperlink>
      <w:r>
        <w:t xml:space="preserve"> </w:t>
      </w:r>
      <w:hyperlink r:id="rId23">
        <w:r>
          <w:rPr>
            <w:rStyle w:val="Hyperlink"/>
          </w:rPr>
          <w:t xml:space="preserve">[36]</w:t>
        </w:r>
      </w:hyperlink>
      <w:r>
        <w:t xml:space="preserve"> </w:t>
      </w:r>
      <w:hyperlink r:id="rId23">
        <w:r>
          <w:rPr>
            <w:rStyle w:val="Hyperlink"/>
          </w:rPr>
          <w:t xml:space="preserve">[46]</w:t>
        </w:r>
      </w:hyperlink>
      <w:r>
        <w:t xml:space="preserve"> </w:t>
      </w:r>
      <w:r>
        <w:t xml:space="preserve">https://stateofgreen.com/en/solutions/rewarding-farmers-for-climate-action/</w:t>
      </w:r>
    </w:p>
    <w:p>
      <w:pPr>
        <w:pStyle w:val="BodyText"/>
      </w:pPr>
      <w:hyperlink r:id="rId23">
        <w:r>
          <w:rPr>
            <w:rStyle w:val="Hyperlink"/>
          </w:rPr>
          <w:t xml:space="preserve">https://stateofgreen.com/en/solutions/rewarding-farmers-for-climate-action/</w:t>
        </w:r>
      </w:hyperlink>
    </w:p>
    <w:p>
      <w:pPr>
        <w:pStyle w:val="BodyText"/>
      </w:pPr>
      <w:hyperlink r:id="rId24">
        <w:r>
          <w:rPr>
            <w:rStyle w:val="Hyperlink"/>
          </w:rPr>
          <w:t xml:space="preserve">[3]</w:t>
        </w:r>
      </w:hyperlink>
      <w:r>
        <w:t xml:space="preserve"> </w:t>
      </w:r>
      <w:hyperlink r:id="rId24">
        <w:r>
          <w:rPr>
            <w:rStyle w:val="Hyperlink"/>
          </w:rPr>
          <w:t xml:space="preserve">[18]</w:t>
        </w:r>
      </w:hyperlink>
      <w:r>
        <w:t xml:space="preserve"> </w:t>
      </w:r>
      <w:hyperlink r:id="rId24">
        <w:r>
          <w:rPr>
            <w:rStyle w:val="Hyperlink"/>
          </w:rPr>
          <w:t xml:space="preserve">[31]</w:t>
        </w:r>
      </w:hyperlink>
      <w:r>
        <w:t xml:space="preserve"> </w:t>
      </w:r>
      <w:hyperlink r:id="rId24">
        <w:r>
          <w:rPr>
            <w:rStyle w:val="Hyperlink"/>
          </w:rPr>
          <w:t xml:space="preserve">[40]</w:t>
        </w:r>
      </w:hyperlink>
      <w:r>
        <w:t xml:space="preserve"> </w:t>
      </w:r>
      <w:r>
        <w:t xml:space="preserve">https://www.oecd.org/content/dam/oecd/en/publications/reports/2017/03/oecd-environmental-performance-reviews-korea-2017_g1g742d0/9789264268265-en.pdf</w:t>
      </w:r>
    </w:p>
    <w:p>
      <w:pPr>
        <w:pStyle w:val="BodyText"/>
      </w:pPr>
      <w:hyperlink r:id="rId24">
        <w:r>
          <w:rPr>
            <w:rStyle w:val="Hyperlink"/>
          </w:rPr>
          <w:t xml:space="preserve">https://www.oecd.org/content/dam/oecd/en/publications/reports/2017/03/oecd-environmental-performance-reviews-korea-2017_g1g742d0/9789264268265-en.pdf</w:t>
        </w:r>
      </w:hyperlink>
    </w:p>
    <w:p>
      <w:pPr>
        <w:pStyle w:val="BodyText"/>
      </w:pPr>
      <w:hyperlink r:id="rId25">
        <w:r>
          <w:rPr>
            <w:rStyle w:val="Hyperlink"/>
          </w:rPr>
          <w:t xml:space="preserve">[4]</w:t>
        </w:r>
      </w:hyperlink>
      <w:r>
        <w:t xml:space="preserve"> </w:t>
      </w:r>
      <w:hyperlink r:id="rId25">
        <w:r>
          <w:rPr>
            <w:rStyle w:val="Hyperlink"/>
          </w:rPr>
          <w:t xml:space="preserve">[27]</w:t>
        </w:r>
      </w:hyperlink>
      <w:r>
        <w:t xml:space="preserve"> </w:t>
      </w:r>
      <w:hyperlink r:id="rId25">
        <w:r>
          <w:rPr>
            <w:rStyle w:val="Hyperlink"/>
          </w:rPr>
          <w:t xml:space="preserve">[35]</w:t>
        </w:r>
      </w:hyperlink>
      <w:r>
        <w:t xml:space="preserve"> </w:t>
      </w:r>
      <w:r>
        <w:t xml:space="preserve">https://diva-portal.org/smash/get/diva2%3A2052202/FULLTEXT01.pdf</w:t>
      </w:r>
    </w:p>
    <w:p>
      <w:pPr>
        <w:pStyle w:val="BodyText"/>
      </w:pPr>
      <w:hyperlink r:id="rId25">
        <w:r>
          <w:rPr>
            <w:rStyle w:val="Hyperlink"/>
          </w:rPr>
          <w:t xml:space="preserve">https://diva-portal.org/smash/get/diva2%3A2052202/FULLTEXT01.pdf</w:t>
        </w:r>
      </w:hyperlink>
    </w:p>
    <w:p>
      <w:pPr>
        <w:pStyle w:val="BodyText"/>
      </w:pPr>
      <w:hyperlink r:id="rId26">
        <w:r>
          <w:rPr>
            <w:rStyle w:val="Hyperlink"/>
          </w:rPr>
          <w:t xml:space="preserve">[5]</w:t>
        </w:r>
      </w:hyperlink>
      <w:r>
        <w:t xml:space="preserve"> </w:t>
      </w:r>
      <w:hyperlink r:id="rId26">
        <w:r>
          <w:rPr>
            <w:rStyle w:val="Hyperlink"/>
          </w:rPr>
          <w:t xml:space="preserve">[8]</w:t>
        </w:r>
      </w:hyperlink>
      <w:r>
        <w:t xml:space="preserve"> </w:t>
      </w:r>
      <w:hyperlink r:id="rId26">
        <w:r>
          <w:rPr>
            <w:rStyle w:val="Hyperlink"/>
          </w:rPr>
          <w:t xml:space="preserve">[17]</w:t>
        </w:r>
      </w:hyperlink>
      <w:r>
        <w:t xml:space="preserve"> </w:t>
      </w:r>
      <w:hyperlink r:id="rId26">
        <w:r>
          <w:rPr>
            <w:rStyle w:val="Hyperlink"/>
          </w:rPr>
          <w:t xml:space="preserve">[26]</w:t>
        </w:r>
      </w:hyperlink>
      <w:r>
        <w:t xml:space="preserve"> </w:t>
      </w:r>
      <w:hyperlink r:id="rId26">
        <w:r>
          <w:rPr>
            <w:rStyle w:val="Hyperlink"/>
          </w:rPr>
          <w:t xml:space="preserve">[45]</w:t>
        </w:r>
      </w:hyperlink>
      <w:r>
        <w:t xml:space="preserve"> </w:t>
      </w:r>
      <w:hyperlink r:id="rId26">
        <w:r>
          <w:rPr>
            <w:rStyle w:val="Hyperlink"/>
          </w:rPr>
          <w:t xml:space="preserve">[49]</w:t>
        </w:r>
      </w:hyperlink>
      <w:r>
        <w:t xml:space="preserve"> </w:t>
      </w:r>
      <w:r>
        <w:t xml:space="preserve">https://food.ec.europa.eu/system/files/2019-06/fw_eu-actions_food-donation_ms-practices-food-redis.pdf</w:t>
      </w:r>
    </w:p>
    <w:p>
      <w:pPr>
        <w:pStyle w:val="BodyText"/>
      </w:pPr>
      <w:hyperlink r:id="rId26">
        <w:r>
          <w:rPr>
            <w:rStyle w:val="Hyperlink"/>
          </w:rPr>
          <w:t xml:space="preserve">https://food.ec.europa.eu/system/files/2019-06/fw_eu-actions_food-donation_ms-practices-food-redis.pdf</w:t>
        </w:r>
      </w:hyperlink>
    </w:p>
    <w:p>
      <w:pPr>
        <w:pStyle w:val="BodyText"/>
      </w:pPr>
      <w:hyperlink r:id="rId27">
        <w:r>
          <w:rPr>
            <w:rStyle w:val="Hyperlink"/>
          </w:rPr>
          <w:t xml:space="preserve">[7]</w:t>
        </w:r>
      </w:hyperlink>
      <w:r>
        <w:t xml:space="preserve"> </w:t>
      </w:r>
      <w:hyperlink r:id="rId27">
        <w:r>
          <w:rPr>
            <w:rStyle w:val="Hyperlink"/>
          </w:rPr>
          <w:t xml:space="preserve">[37]</w:t>
        </w:r>
      </w:hyperlink>
      <w:r>
        <w:t xml:space="preserve"> </w:t>
      </w:r>
      <w:r>
        <w:t xml:space="preserve">https://www.cevalogistics.com/en/news-and-media/newsroom/press-release/too-good-to-go-and-ceva-hit-major-distribution-milestone-of-300k-parcels-to-reduce-food-waste</w:t>
      </w:r>
    </w:p>
    <w:p>
      <w:pPr>
        <w:pStyle w:val="BodyText"/>
      </w:pPr>
      <w:hyperlink r:id="rId27">
        <w:r>
          <w:rPr>
            <w:rStyle w:val="Hyperlink"/>
          </w:rPr>
          <w:t xml:space="preserve">https://www.cevalogistics.com/en/news-and-media/newsroom/press-release/too-good-to-go-and-ceva-hit-major-distribution-milestone-of-300k-parcels-to-reduce-food-waste</w:t>
        </w:r>
      </w:hyperlink>
    </w:p>
    <w:p>
      <w:pPr>
        <w:pStyle w:val="BodyText"/>
      </w:pPr>
      <w:hyperlink r:id="rId28">
        <w:r>
          <w:rPr>
            <w:rStyle w:val="Hyperlink"/>
          </w:rPr>
          <w:t xml:space="preserve">[10]</w:t>
        </w:r>
      </w:hyperlink>
      <w:r>
        <w:t xml:space="preserve"> </w:t>
      </w:r>
      <w:hyperlink r:id="rId28">
        <w:r>
          <w:rPr>
            <w:rStyle w:val="Hyperlink"/>
          </w:rPr>
          <w:t xml:space="preserve">[23]</w:t>
        </w:r>
      </w:hyperlink>
      <w:r>
        <w:t xml:space="preserve"> </w:t>
      </w:r>
      <w:r>
        <w:t xml:space="preserve">https://helda.helsinki.fi/bitstreams/c4b81b44-e270-46b4-ae57-71ac0367e792/download</w:t>
      </w:r>
    </w:p>
    <w:p>
      <w:pPr>
        <w:pStyle w:val="BodyText"/>
      </w:pPr>
      <w:hyperlink r:id="rId28">
        <w:r>
          <w:rPr>
            <w:rStyle w:val="Hyperlink"/>
          </w:rPr>
          <w:t xml:space="preserve">https://helda.helsinki.fi/bitstreams/c4b81b44-e270-46b4-ae57-71ac0367e792/download</w:t>
        </w:r>
      </w:hyperlink>
    </w:p>
    <w:p>
      <w:pPr>
        <w:pStyle w:val="BodyText"/>
      </w:pPr>
      <w:hyperlink r:id="rId29">
        <w:r>
          <w:rPr>
            <w:rStyle w:val="Hyperlink"/>
          </w:rPr>
          <w:t xml:space="preserve">[11]</w:t>
        </w:r>
      </w:hyperlink>
      <w:r>
        <w:t xml:space="preserve"> </w:t>
      </w:r>
      <w:r>
        <w:t xml:space="preserve">https://english.seoul.go.kr/seoul-featured-on-bbc-storyworks-for-innovative-food-waste-solutions/</w:t>
      </w:r>
    </w:p>
    <w:p>
      <w:pPr>
        <w:pStyle w:val="BodyText"/>
      </w:pPr>
      <w:hyperlink r:id="rId29">
        <w:r>
          <w:rPr>
            <w:rStyle w:val="Hyperlink"/>
          </w:rPr>
          <w:t xml:space="preserve">https://english.seoul.go.kr/seoul-featured-on-bbc-storyworks-for-innovative-food-waste-solutions/</w:t>
        </w:r>
      </w:hyperlink>
    </w:p>
    <w:p>
      <w:pPr>
        <w:pStyle w:val="BodyText"/>
      </w:pPr>
      <w:hyperlink r:id="rId31">
        <w:r>
          <w:rPr>
            <w:rStyle w:val="Hyperlink"/>
          </w:rPr>
          <w:t xml:space="preserve">[12]</w:t>
        </w:r>
      </w:hyperlink>
      <w:r>
        <w:t xml:space="preserve"> </w:t>
      </w:r>
      <w:hyperlink r:id="rId31">
        <w:r>
          <w:rPr>
            <w:rStyle w:val="Hyperlink"/>
          </w:rPr>
          <w:t xml:space="preserve">[21]</w:t>
        </w:r>
      </w:hyperlink>
      <w:r>
        <w:t xml:space="preserve"> </w:t>
      </w:r>
      <w:r>
        <w:t xml:space="preserve">https://presscloud.com/csp/vocast/message.csp?KEY=519058656948183&amp;format=web</w:t>
      </w:r>
    </w:p>
    <w:p>
      <w:pPr>
        <w:pStyle w:val="BodyText"/>
      </w:pPr>
      <w:hyperlink r:id="rId31">
        <w:r>
          <w:rPr>
            <w:rStyle w:val="Hyperlink"/>
          </w:rPr>
          <w:t xml:space="preserve">https://presscloud.com/csp/vocast/message.csp?KEY=519058656948183&amp;format=web</w:t>
        </w:r>
      </w:hyperlink>
    </w:p>
    <w:p>
      <w:pPr>
        <w:pStyle w:val="BodyText"/>
      </w:pPr>
      <w:hyperlink r:id="rId32">
        <w:r>
          <w:rPr>
            <w:rStyle w:val="Hyperlink"/>
          </w:rPr>
          <w:t xml:space="preserve">[13]</w:t>
        </w:r>
      </w:hyperlink>
      <w:r>
        <w:t xml:space="preserve"> </w:t>
      </w:r>
      <w:r>
        <w:t xml:space="preserve">https://plantefonden.dk/the-plant-based-food-grant/the-history</w:t>
      </w:r>
    </w:p>
    <w:p>
      <w:pPr>
        <w:pStyle w:val="BodyText"/>
      </w:pPr>
      <w:hyperlink r:id="rId32">
        <w:r>
          <w:rPr>
            <w:rStyle w:val="Hyperlink"/>
          </w:rPr>
          <w:t xml:space="preserve">https://plantefonden.dk/the-plant-based-food-grant/the-history</w:t>
        </w:r>
      </w:hyperlink>
    </w:p>
    <w:p>
      <w:pPr>
        <w:pStyle w:val="BodyText"/>
      </w:pPr>
      <w:hyperlink r:id="rId33">
        <w:r>
          <w:rPr>
            <w:rStyle w:val="Hyperlink"/>
          </w:rPr>
          <w:t xml:space="preserve">[14]</w:t>
        </w:r>
      </w:hyperlink>
      <w:r>
        <w:t xml:space="preserve"> </w:t>
      </w:r>
      <w:hyperlink r:id="rId33">
        <w:r>
          <w:rPr>
            <w:rStyle w:val="Hyperlink"/>
          </w:rPr>
          <w:t xml:space="preserve">[16]</w:t>
        </w:r>
      </w:hyperlink>
      <w:r>
        <w:t xml:space="preserve"> </w:t>
      </w:r>
      <w:hyperlink r:id="rId33">
        <w:r>
          <w:rPr>
            <w:rStyle w:val="Hyperlink"/>
          </w:rPr>
          <w:t xml:space="preserve">[42]</w:t>
        </w:r>
      </w:hyperlink>
      <w:r>
        <w:t xml:space="preserve"> </w:t>
      </w:r>
      <w:r>
        <w:t xml:space="preserve">https://www.sfa.gov.sg/regulatory-standards-frameworks-guidelines/novel-food-framework/overview-of-pre-market-approval-framework-for-novel-food</w:t>
      </w:r>
    </w:p>
    <w:p>
      <w:pPr>
        <w:pStyle w:val="BodyText"/>
      </w:pPr>
      <w:hyperlink r:id="rId33">
        <w:r>
          <w:rPr>
            <w:rStyle w:val="Hyperlink"/>
          </w:rPr>
          <w:t xml:space="preserve">https://www.sfa.gov.sg/regulatory-standards-frameworks-guidelines/novel-food-framework/overview-of-pre-market-approval-framework-for-novel-food</w:t>
        </w:r>
      </w:hyperlink>
    </w:p>
    <w:p>
      <w:pPr>
        <w:pStyle w:val="BodyText"/>
      </w:pPr>
      <w:hyperlink r:id="rId34">
        <w:r>
          <w:rPr>
            <w:rStyle w:val="Hyperlink"/>
          </w:rPr>
          <w:t xml:space="preserve">[15]</w:t>
        </w:r>
      </w:hyperlink>
      <w:r>
        <w:t xml:space="preserve"> </w:t>
      </w:r>
      <w:hyperlink r:id="rId34">
        <w:r>
          <w:rPr>
            <w:rStyle w:val="Hyperlink"/>
          </w:rPr>
          <w:t xml:space="preserve">[32]</w:t>
        </w:r>
      </w:hyperlink>
      <w:r>
        <w:t xml:space="preserve"> </w:t>
      </w:r>
      <w:r>
        <w:t xml:space="preserve">https://www.arla.com/sustainability/the-farms/arlas-sustainability-incentive-model-qa/</w:t>
      </w:r>
    </w:p>
    <w:p>
      <w:pPr>
        <w:pStyle w:val="BodyText"/>
      </w:pPr>
      <w:hyperlink r:id="rId34">
        <w:r>
          <w:rPr>
            <w:rStyle w:val="Hyperlink"/>
          </w:rPr>
          <w:t xml:space="preserve">https://www.arla.com/sustainability/the-farms/arlas-sustainability-incentive-model-qa/</w:t>
        </w:r>
      </w:hyperlink>
    </w:p>
    <w:p>
      <w:pPr>
        <w:pStyle w:val="BodyText"/>
      </w:pPr>
      <w:hyperlink r:id="rId35">
        <w:r>
          <w:rPr>
            <w:rStyle w:val="Hyperlink"/>
          </w:rPr>
          <w:t xml:space="preserve">[19]</w:t>
        </w:r>
      </w:hyperlink>
      <w:r>
        <w:t xml:space="preserve"> </w:t>
      </w:r>
      <w:r>
        <w:t xml:space="preserve">https://peelpioneers.nl/home-en/</w:t>
      </w:r>
    </w:p>
    <w:p>
      <w:pPr>
        <w:pStyle w:val="BodyText"/>
      </w:pPr>
      <w:hyperlink r:id="rId35">
        <w:r>
          <w:rPr>
            <w:rStyle w:val="Hyperlink"/>
          </w:rPr>
          <w:t xml:space="preserve">https://peelpioneers.nl/home-en/</w:t>
        </w:r>
      </w:hyperlink>
    </w:p>
    <w:p>
      <w:pPr>
        <w:pStyle w:val="BodyText"/>
      </w:pPr>
      <w:hyperlink r:id="rId36">
        <w:r>
          <w:rPr>
            <w:rStyle w:val="Hyperlink"/>
          </w:rPr>
          <w:t xml:space="preserve">[20]</w:t>
        </w:r>
      </w:hyperlink>
      <w:r>
        <w:t xml:space="preserve"> </w:t>
      </w:r>
      <w:hyperlink r:id="rId36">
        <w:r>
          <w:rPr>
            <w:rStyle w:val="Hyperlink"/>
          </w:rPr>
          <w:t xml:space="preserve">[24]</w:t>
        </w:r>
      </w:hyperlink>
      <w:r>
        <w:t xml:space="preserve"> </w:t>
      </w:r>
      <w:hyperlink r:id="rId36">
        <w:r>
          <w:rPr>
            <w:rStyle w:val="Hyperlink"/>
          </w:rPr>
          <w:t xml:space="preserve">[25]</w:t>
        </w:r>
      </w:hyperlink>
      <w:r>
        <w:t xml:space="preserve"> </w:t>
      </w:r>
      <w:hyperlink r:id="rId36">
        <w:r>
          <w:rPr>
            <w:rStyle w:val="Hyperlink"/>
          </w:rPr>
          <w:t xml:space="preserve">[34]</w:t>
        </w:r>
      </w:hyperlink>
      <w:r>
        <w:t xml:space="preserve"> </w:t>
      </w:r>
      <w:r>
        <w:t xml:space="preserve">https://kbh-madhus.webflow.io/english/ourstory</w:t>
      </w:r>
    </w:p>
    <w:p>
      <w:pPr>
        <w:pStyle w:val="BodyText"/>
      </w:pPr>
      <w:hyperlink r:id="rId36">
        <w:r>
          <w:rPr>
            <w:rStyle w:val="Hyperlink"/>
          </w:rPr>
          <w:t xml:space="preserve">https://kbh-madhus.webflow.io/english/ourstory</w:t>
        </w:r>
      </w:hyperlink>
    </w:p>
    <w:p>
      <w:pPr>
        <w:pStyle w:val="BodyText"/>
      </w:pPr>
      <w:hyperlink r:id="rId37">
        <w:r>
          <w:rPr>
            <w:rStyle w:val="Hyperlink"/>
          </w:rPr>
          <w:t xml:space="preserve">[22]</w:t>
        </w:r>
      </w:hyperlink>
      <w:r>
        <w:t xml:space="preserve"> </w:t>
      </w:r>
      <w:r>
        <w:t xml:space="preserve">https://plantefonden.dk/the-plant-based-food-grant/the-projects</w:t>
      </w:r>
    </w:p>
    <w:p>
      <w:pPr>
        <w:pStyle w:val="BodyText"/>
      </w:pPr>
      <w:hyperlink r:id="rId37">
        <w:r>
          <w:rPr>
            <w:rStyle w:val="Hyperlink"/>
          </w:rPr>
          <w:t xml:space="preserve">https://plantefonden.dk/the-plant-based-food-grant/the-projects</w:t>
        </w:r>
      </w:hyperlink>
    </w:p>
    <w:p>
      <w:pPr>
        <w:pStyle w:val="BodyText"/>
      </w:pPr>
      <w:hyperlink r:id="rId39">
        <w:r>
          <w:rPr>
            <w:rStyle w:val="Hyperlink"/>
          </w:rPr>
          <w:t xml:space="preserve">[30]</w:t>
        </w:r>
      </w:hyperlink>
      <w:r>
        <w:t xml:space="preserve"> </w:t>
      </w:r>
      <w:r>
        <w:t xml:space="preserve">https://www.fao.org/in-action/program-brazil-fao/news/ver/ru/c/1696236/</w:t>
      </w:r>
    </w:p>
    <w:p>
      <w:pPr>
        <w:pStyle w:val="BodyText"/>
      </w:pPr>
      <w:hyperlink r:id="rId39">
        <w:r>
          <w:rPr>
            <w:rStyle w:val="Hyperlink"/>
          </w:rPr>
          <w:t xml:space="preserve">https://www.fao.org/in-action/program-brazil-fao/news/ver/ru/c/1696236/</w:t>
        </w:r>
      </w:hyperlink>
    </w:p>
    <w:p>
      <w:pPr>
        <w:pStyle w:val="BodyText"/>
      </w:pPr>
      <w:hyperlink r:id="rId41">
        <w:r>
          <w:rPr>
            <w:rStyle w:val="Hyperlink"/>
          </w:rPr>
          <w:t xml:space="preserve">[38]</w:t>
        </w:r>
      </w:hyperlink>
      <w:r>
        <w:t xml:space="preserve"> </w:t>
      </w:r>
      <w:r>
        <w:t xml:space="preserve">https://www.mdpi.com/2071-1050/13/18/10471</w:t>
      </w:r>
    </w:p>
    <w:p>
      <w:pPr>
        <w:pStyle w:val="BodyText"/>
      </w:pPr>
      <w:hyperlink r:id="rId41">
        <w:r>
          <w:rPr>
            <w:rStyle w:val="Hyperlink"/>
          </w:rPr>
          <w:t xml:space="preserve">https://www.mdpi.com/2071-1050/13/18/10471</w:t>
        </w:r>
      </w:hyperlink>
    </w:p>
    <w:p>
      <w:pPr>
        <w:pStyle w:val="BodyText"/>
      </w:pPr>
      <w:hyperlink r:id="rId42">
        <w:r>
          <w:rPr>
            <w:rStyle w:val="Hyperlink"/>
          </w:rPr>
          <w:t xml:space="preserve">[39]</w:t>
        </w:r>
      </w:hyperlink>
      <w:r>
        <w:t xml:space="preserve"> </w:t>
      </w:r>
      <w:hyperlink r:id="rId42">
        <w:r>
          <w:rPr>
            <w:rStyle w:val="Hyperlink"/>
          </w:rPr>
          <w:t xml:space="preserve">[44]</w:t>
        </w:r>
      </w:hyperlink>
      <w:r>
        <w:t xml:space="preserve"> </w:t>
      </w:r>
      <w:hyperlink r:id="rId42">
        <w:r>
          <w:rPr>
            <w:rStyle w:val="Hyperlink"/>
          </w:rPr>
          <w:t xml:space="preserve">[48]</w:t>
        </w:r>
      </w:hyperlink>
      <w:r>
        <w:t xml:space="preserve"> </w:t>
      </w:r>
      <w:r>
        <w:t xml:space="preserve">https://www.emerald.com/bfj/article/126/13/143/1234171/What-does-it-take-to-close-the-loop-Lessons-from-a</w:t>
      </w:r>
    </w:p>
    <w:p>
      <w:pPr>
        <w:pStyle w:val="BodyText"/>
      </w:pPr>
      <w:hyperlink r:id="rId42">
        <w:r>
          <w:rPr>
            <w:rStyle w:val="Hyperlink"/>
          </w:rPr>
          <w:t xml:space="preserve">https://www.emerald.com/bfj/article/126/13/143/1234171/What-does-it-take-to-close-the-loop-Lessons-from-a</w:t>
        </w:r>
      </w:hyperlink>
    </w:p>
    <w:p>
      <w:pPr>
        <w:pStyle w:val="BodyText"/>
      </w:pPr>
      <w:hyperlink r:id="rId43">
        <w:r>
          <w:rPr>
            <w:rStyle w:val="Hyperlink"/>
          </w:rPr>
          <w:t xml:space="preserve">[41]</w:t>
        </w:r>
      </w:hyperlink>
      <w:r>
        <w:t xml:space="preserve"> </w:t>
      </w:r>
      <w:r>
        <w:t xml:space="preserve">https://globalallianceagainsthungerandpoverty.org/country-example/brazil-national-school-feeding-program-pnae/</w:t>
      </w:r>
    </w:p>
    <w:p>
      <w:pPr>
        <w:pStyle w:val="BodyText"/>
      </w:pPr>
      <w:hyperlink r:id="rId43">
        <w:r>
          <w:rPr>
            <w:rStyle w:val="Hyperlink"/>
          </w:rPr>
          <w:t xml:space="preserve">https://globalallianceagainsthungerandpoverty.org/country-example/brazil-national-school-feeding-program-pnae/</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diva-portal.org/smash/get/diva2%3A2052202/FULLTEXT01.pdf" TargetMode="External" /><Relationship Type="http://schemas.openxmlformats.org/officeDocument/2006/relationships/hyperlink" Id="rId29" Target="https://english.seoul.go.kr/seoul-featured-on-bbc-storyworks-for-innovative-food-waste-solutions/" TargetMode="External" /><Relationship Type="http://schemas.openxmlformats.org/officeDocument/2006/relationships/hyperlink" Id="rId26" Target="https://food.ec.europa.eu/system/files/2019-06/fw_eu-actions_food-donation_ms-practices-food-redis.pdf" TargetMode="External" /><Relationship Type="http://schemas.openxmlformats.org/officeDocument/2006/relationships/hyperlink" Id="rId43" Target="https://globalallianceagainsthungerandpoverty.org/country-example/brazil-national-school-feeding-program-pnae/" TargetMode="External" /><Relationship Type="http://schemas.openxmlformats.org/officeDocument/2006/relationships/hyperlink" Id="rId28" Target="https://helda.helsinki.fi/bitstreams/c4b81b44-e270-46b4-ae57-71ac0367e792/download" TargetMode="External" /><Relationship Type="http://schemas.openxmlformats.org/officeDocument/2006/relationships/hyperlink" Id="rId36" Target="https://kbh-madhus.webflow.io/english/ourstory" TargetMode="External" /><Relationship Type="http://schemas.openxmlformats.org/officeDocument/2006/relationships/hyperlink" Id="rId35" Target="https://peelpioneers.nl/home-en/" TargetMode="External" /><Relationship Type="http://schemas.openxmlformats.org/officeDocument/2006/relationships/hyperlink" Id="rId32" Target="https://plantefonden.dk/the-plant-based-food-grant/the-history" TargetMode="External" /><Relationship Type="http://schemas.openxmlformats.org/officeDocument/2006/relationships/hyperlink" Id="rId37" Target="https://plantefonden.dk/the-plant-based-food-grant/the-projects" TargetMode="External" /><Relationship Type="http://schemas.openxmlformats.org/officeDocument/2006/relationships/hyperlink" Id="rId31" Target="https://presscloud.com/csp/vocast/message.csp?KEY=519058656948183&amp;format=web" TargetMode="External" /><Relationship Type="http://schemas.openxmlformats.org/officeDocument/2006/relationships/hyperlink" Id="rId23" Target="https://stateofgreen.com/en/solutions/rewarding-farmers-for-climate-action/" TargetMode="External" /><Relationship Type="http://schemas.openxmlformats.org/officeDocument/2006/relationships/hyperlink" Id="rId34" Target="https://www.arla.com/sustainability/the-farms/arlas-sustainability-incentive-model-qa/" TargetMode="External" /><Relationship Type="http://schemas.openxmlformats.org/officeDocument/2006/relationships/hyperlink" Id="rId21" Target="https://www.c40.org/news/climate-action-starts-on-our-plates/" TargetMode="External" /><Relationship Type="http://schemas.openxmlformats.org/officeDocument/2006/relationships/hyperlink" Id="rId27" Target="https://www.cevalogistics.com/en/news-and-media/newsroom/press-release/too-good-to-go-and-ceva-hit-major-distribution-milestone-of-300k-parcels-to-reduce-food-waste" TargetMode="External" /><Relationship Type="http://schemas.openxmlformats.org/officeDocument/2006/relationships/hyperlink" Id="rId42" Target="https://www.emerald.com/bfj/article/126/13/143/1234171/What-does-it-take-to-close-the-loop-Lessons-from-a" TargetMode="External" /><Relationship Type="http://schemas.openxmlformats.org/officeDocument/2006/relationships/hyperlink" Id="rId39" Target="https://www.fao.org/in-action/program-brazil-fao/news/ver/ru/c/1696236/" TargetMode="External" /><Relationship Type="http://schemas.openxmlformats.org/officeDocument/2006/relationships/hyperlink" Id="rId41" Target="https://www.mdpi.com/2071-1050/13/18/10471" TargetMode="External" /><Relationship Type="http://schemas.openxmlformats.org/officeDocument/2006/relationships/hyperlink" Id="rId24" Target="https://www.oecd.org/content/dam/oecd/en/publications/reports/2017/03/oecd-environmental-performance-reviews-korea-2017_g1g742d0/9789264268265-en.pdf" TargetMode="External" /><Relationship Type="http://schemas.openxmlformats.org/officeDocument/2006/relationships/hyperlink" Id="rId33" Target="https://www.sfa.gov.sg/regulatory-standards-frameworks-guidelines/novel-food-framework/overview-of-pre-market-approval-framework-for-novel-food" TargetMode="External" /></Relationships>
</file>

<file path=word/_rels/footnotes.xml.rels><?xml version="1.0" encoding="UTF-8"?><Relationships xmlns="http://schemas.openxmlformats.org/package/2006/relationships"><Relationship Type="http://schemas.openxmlformats.org/officeDocument/2006/relationships/hyperlink" Id="rId25" Target="https://diva-portal.org/smash/get/diva2%3A2052202/FULLTEXT01.pdf" TargetMode="External" /><Relationship Type="http://schemas.openxmlformats.org/officeDocument/2006/relationships/hyperlink" Id="rId29" Target="https://english.seoul.go.kr/seoul-featured-on-bbc-storyworks-for-innovative-food-waste-solutions/" TargetMode="External" /><Relationship Type="http://schemas.openxmlformats.org/officeDocument/2006/relationships/hyperlink" Id="rId26" Target="https://food.ec.europa.eu/system/files/2019-06/fw_eu-actions_food-donation_ms-practices-food-redis.pdf" TargetMode="External" /><Relationship Type="http://schemas.openxmlformats.org/officeDocument/2006/relationships/hyperlink" Id="rId43" Target="https://globalallianceagainsthungerandpoverty.org/country-example/brazil-national-school-feeding-program-pnae/" TargetMode="External" /><Relationship Type="http://schemas.openxmlformats.org/officeDocument/2006/relationships/hyperlink" Id="rId28" Target="https://helda.helsinki.fi/bitstreams/c4b81b44-e270-46b4-ae57-71ac0367e792/download" TargetMode="External" /><Relationship Type="http://schemas.openxmlformats.org/officeDocument/2006/relationships/hyperlink" Id="rId36" Target="https://kbh-madhus.webflow.io/english/ourstory" TargetMode="External" /><Relationship Type="http://schemas.openxmlformats.org/officeDocument/2006/relationships/hyperlink" Id="rId35" Target="https://peelpioneers.nl/home-en/" TargetMode="External" /><Relationship Type="http://schemas.openxmlformats.org/officeDocument/2006/relationships/hyperlink" Id="rId32" Target="https://plantefonden.dk/the-plant-based-food-grant/the-history" TargetMode="External" /><Relationship Type="http://schemas.openxmlformats.org/officeDocument/2006/relationships/hyperlink" Id="rId37" Target="https://plantefonden.dk/the-plant-based-food-grant/the-projects" TargetMode="External" /><Relationship Type="http://schemas.openxmlformats.org/officeDocument/2006/relationships/hyperlink" Id="rId31" Target="https://presscloud.com/csp/vocast/message.csp?KEY=519058656948183&amp;format=web" TargetMode="External" /><Relationship Type="http://schemas.openxmlformats.org/officeDocument/2006/relationships/hyperlink" Id="rId23" Target="https://stateofgreen.com/en/solutions/rewarding-farmers-for-climate-action/" TargetMode="External" /><Relationship Type="http://schemas.openxmlformats.org/officeDocument/2006/relationships/hyperlink" Id="rId34" Target="https://www.arla.com/sustainability/the-farms/arlas-sustainability-incentive-model-qa/" TargetMode="External" /><Relationship Type="http://schemas.openxmlformats.org/officeDocument/2006/relationships/hyperlink" Id="rId21" Target="https://www.c40.org/news/climate-action-starts-on-our-plates/" TargetMode="External" /><Relationship Type="http://schemas.openxmlformats.org/officeDocument/2006/relationships/hyperlink" Id="rId27" Target="https://www.cevalogistics.com/en/news-and-media/newsroom/press-release/too-good-to-go-and-ceva-hit-major-distribution-milestone-of-300k-parcels-to-reduce-food-waste" TargetMode="External" /><Relationship Type="http://schemas.openxmlformats.org/officeDocument/2006/relationships/hyperlink" Id="rId42" Target="https://www.emerald.com/bfj/article/126/13/143/1234171/What-does-it-take-to-close-the-loop-Lessons-from-a" TargetMode="External" /><Relationship Type="http://schemas.openxmlformats.org/officeDocument/2006/relationships/hyperlink" Id="rId39" Target="https://www.fao.org/in-action/program-brazil-fao/news/ver/ru/c/1696236/" TargetMode="External" /><Relationship Type="http://schemas.openxmlformats.org/officeDocument/2006/relationships/hyperlink" Id="rId41" Target="https://www.mdpi.com/2071-1050/13/18/10471" TargetMode="External" /><Relationship Type="http://schemas.openxmlformats.org/officeDocument/2006/relationships/hyperlink" Id="rId24" Target="https://www.oecd.org/content/dam/oecd/en/publications/reports/2017/03/oecd-environmental-performance-reviews-korea-2017_g1g742d0/9789264268265-en.pdf" TargetMode="External" /><Relationship Type="http://schemas.openxmlformats.org/officeDocument/2006/relationships/hyperlink" Id="rId33" Target="https://www.sfa.gov.sg/regulatory-standards-frameworks-guidelines/novel-food-framework/overview-of-pre-market-approval-framework-for-novel-foo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nb</dc:language>
  <cp:keywords/>
  <dcterms:created xsi:type="dcterms:W3CDTF">2026-04-20T05:57:43Z</dcterms:created>
  <dcterms:modified xsi:type="dcterms:W3CDTF">2026-04-20T05:57:43Z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