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1565C0"/>
          <w:sz w:val="29"/>
        </w:rPr>
        <w:t>BƯỚC 4. TỐI ƯU HÓA ĐIỀU PHỐI TOÀN MẠNG BẰNG QUY HOẠCH TUYẾN TÍNH NGUYÊN HỖN HỢP (MILP)</w:t>
      </w:r>
    </w:p>
    <w:p>
      <w:pPr>
        <w:spacing w:before="0" w:after="160" w:line="288" w:lineRule="auto"/>
        <w:jc w:val="both"/>
      </w:pPr>
      <w:r>
        <w:rPr>
          <w:rFonts w:ascii="Times New Roman" w:hAnsi="Times New Roman"/>
          <w:color w:val="212121"/>
          <w:sz w:val="24"/>
        </w:rPr>
        <w:t>Sau khi động cơ AI hoàn tất dự báo sản lượng và cơ chế Newsvendor xác lập hạn ngạch công suất xe lạnh cần thiết cho từng ngày, nền tảng FROSTLINK kích hoạt thuật toán Quy hoạch Tuyến tính Nguyên hỗn hợp (Mixed-Integer Linear Programming - MILP) để tự động hóa việc gán đơn hàng, ghép chuyến đa tầng (LTL gom hàng lẻ) và triệt tiêu quãng đường xe chạy rỗng (Deadhead km).</w:t>
      </w:r>
    </w:p>
    <w:p>
      <w:pPr>
        <w:spacing w:before="160" w:after="80"/>
      </w:pPr>
      <w:r>
        <w:rPr>
          <w:rFonts w:ascii="Times New Roman" w:hAnsi="Times New Roman"/>
          <w:b/>
          <w:color w:val="0D47A1"/>
          <w:sz w:val="26"/>
        </w:rPr>
        <w:t>1. Hệ thống Ký hiệu &amp; Biến số Mô hình</w:t>
      </w:r>
    </w:p>
    <w:p>
      <w:pPr>
        <w:spacing w:before="80" w:after="40"/>
        <w:ind w:left="288"/>
      </w:pPr>
      <w:r>
        <w:rPr>
          <w:rFonts w:ascii="Times New Roman" w:hAnsi="Times New Roman"/>
          <w:b/>
          <w:color w:val="212121"/>
          <w:sz w:val="24"/>
        </w:rPr>
        <w:t>• Tập hợp chỉ số (Sets):</w:t>
      </w:r>
    </w:p>
    <w:p>
      <w:pPr>
        <w:spacing w:before="20" w:after="40" w:line="276" w:lineRule="auto"/>
        <w:ind w:left="648"/>
      </w:pPr>
      <w:r>
        <w:rPr>
          <w:rFonts w:ascii="Times New Roman" w:hAnsi="Times New Roman"/>
          <w:b/>
          <w:i/>
          <w:color w:val="212121"/>
          <w:sz w:val="23"/>
        </w:rPr>
        <w:t xml:space="preserve">- I: </w:t>
      </w:r>
      <w:r>
        <w:rPr>
          <w:rFonts w:ascii="Times New Roman" w:hAnsi="Times New Roman"/>
          <w:color w:val="212121"/>
          <w:sz w:val="23"/>
        </w:rPr>
        <w:t>Tập hợp các đơn hàng thu hoạch từ các Hợp tác xã (i ∈ I).</w:t>
      </w:r>
    </w:p>
    <w:p>
      <w:pPr>
        <w:spacing w:before="20" w:after="40" w:line="276" w:lineRule="auto"/>
        <w:ind w:left="648"/>
      </w:pPr>
      <w:r>
        <w:rPr>
          <w:rFonts w:ascii="Times New Roman" w:hAnsi="Times New Roman"/>
          <w:b/>
          <w:i/>
          <w:color w:val="212121"/>
          <w:sz w:val="23"/>
        </w:rPr>
        <w:t xml:space="preserve">- J: </w:t>
      </w:r>
      <w:r>
        <w:rPr>
          <w:rFonts w:ascii="Times New Roman" w:hAnsi="Times New Roman"/>
          <w:color w:val="212121"/>
          <w:sz w:val="23"/>
        </w:rPr>
        <w:t>Tập hợp các phương tiện vận tải lạnh khả dụng trên mạng lưới (j ∈ J), gồm Container lạnh 40 feet (C_eff, Cont40 = 17.28 tấn) và Xe tải lạnh 5 tấn (C_eff, Truck5 = 4.80 tấn).</w:t>
      </w:r>
    </w:p>
    <w:p>
      <w:pPr>
        <w:spacing w:before="80" w:after="40"/>
        <w:ind w:left="288"/>
      </w:pPr>
      <w:r>
        <w:rPr>
          <w:rFonts w:ascii="Times New Roman" w:hAnsi="Times New Roman"/>
          <w:b/>
          <w:color w:val="212121"/>
          <w:sz w:val="24"/>
        </w:rPr>
        <w:t>• Tham số kinh tế &amp; vận hành (Parameters):</w:t>
      </w:r>
    </w:p>
    <w:p>
      <w:pPr>
        <w:spacing w:before="20" w:after="40" w:line="276" w:lineRule="auto"/>
        <w:ind w:left="648"/>
      </w:pPr>
      <w:r>
        <w:rPr>
          <w:rFonts w:ascii="Times New Roman" w:hAnsi="Times New Roman"/>
          <w:b/>
          <w:i/>
          <w:color w:val="212121"/>
          <w:sz w:val="23"/>
        </w:rPr>
        <w:t xml:space="preserve">- w_i: </w:t>
      </w:r>
      <w:r>
        <w:rPr>
          <w:rFonts w:ascii="Times New Roman" w:hAnsi="Times New Roman"/>
          <w:color w:val="212121"/>
          <w:sz w:val="23"/>
        </w:rPr>
        <w:t>Trọng lượng hàng hóa của đơn hàng i (Tấn).</w:t>
      </w:r>
    </w:p>
    <w:p>
      <w:pPr>
        <w:spacing w:before="20" w:after="40" w:line="276" w:lineRule="auto"/>
        <w:ind w:left="648"/>
      </w:pPr>
      <w:r>
        <w:rPr>
          <w:rFonts w:ascii="Times New Roman" w:hAnsi="Times New Roman"/>
          <w:b/>
          <w:i/>
          <w:color w:val="212121"/>
          <w:sz w:val="23"/>
        </w:rPr>
        <w:t xml:space="preserve">- C_j: </w:t>
      </w:r>
      <w:r>
        <w:rPr>
          <w:rFonts w:ascii="Times New Roman" w:hAnsi="Times New Roman"/>
          <w:color w:val="212121"/>
          <w:sz w:val="23"/>
        </w:rPr>
        <w:t>Tải trọng hữu dụng tối đa của phương tiện j (Tấn).</w:t>
      </w:r>
    </w:p>
    <w:p>
      <w:pPr>
        <w:spacing w:before="20" w:after="40" w:line="276" w:lineRule="auto"/>
        <w:ind w:left="648"/>
      </w:pPr>
      <w:r>
        <w:rPr>
          <w:rFonts w:ascii="Times New Roman" w:hAnsi="Times New Roman"/>
          <w:b/>
          <w:i/>
          <w:color w:val="212121"/>
          <w:sz w:val="23"/>
        </w:rPr>
        <w:t xml:space="preserve">- FixedCost_j: </w:t>
      </w:r>
      <w:r>
        <w:rPr>
          <w:rFonts w:ascii="Times New Roman" w:hAnsi="Times New Roman"/>
          <w:color w:val="212121"/>
          <w:sz w:val="23"/>
        </w:rPr>
        <w:t>Chi phí cố định mở xe khi phương tiện j được huy động nổ máy (VNĐ/xe).</w:t>
      </w:r>
    </w:p>
    <w:p>
      <w:pPr>
        <w:spacing w:before="20" w:after="40" w:line="276" w:lineRule="auto"/>
        <w:ind w:left="648"/>
      </w:pPr>
      <w:r>
        <w:rPr>
          <w:rFonts w:ascii="Times New Roman" w:hAnsi="Times New Roman"/>
          <w:b/>
          <w:i/>
          <w:color w:val="212121"/>
          <w:sz w:val="23"/>
        </w:rPr>
        <w:t xml:space="preserve">- DeadheadCost_ji: </w:t>
      </w:r>
      <w:r>
        <w:rPr>
          <w:rFonts w:ascii="Times New Roman" w:hAnsi="Times New Roman"/>
          <w:color w:val="212121"/>
          <w:sz w:val="23"/>
        </w:rPr>
        <w:t>Chi phí phát sinh do xe j chạy rỗng từ điểm định vị hiện tại đến điểm bốc hàng của HTX i (VNĐ).</w:t>
      </w:r>
    </w:p>
    <w:p>
      <w:pPr>
        <w:spacing w:before="20" w:after="40" w:line="276" w:lineRule="auto"/>
        <w:ind w:left="648"/>
      </w:pPr>
      <w:r>
        <w:rPr>
          <w:rFonts w:ascii="Times New Roman" w:hAnsi="Times New Roman"/>
          <w:b/>
          <w:i/>
          <w:color w:val="212121"/>
          <w:sz w:val="23"/>
        </w:rPr>
        <w:t xml:space="preserve">- TransitCost_ij: </w:t>
      </w:r>
      <w:r>
        <w:rPr>
          <w:rFonts w:ascii="Times New Roman" w:hAnsi="Times New Roman"/>
          <w:color w:val="212121"/>
          <w:sz w:val="23"/>
        </w:rPr>
        <w:t>Chi phí vận chuyển chính tuyến có tải từ HTX i đến cửa khẩu/kho phân phối (VNĐ).</w:t>
      </w:r>
    </w:p>
    <w:p>
      <w:pPr>
        <w:spacing w:before="80" w:after="40"/>
        <w:ind w:left="288"/>
      </w:pPr>
      <w:r>
        <w:rPr>
          <w:rFonts w:ascii="Times New Roman" w:hAnsi="Times New Roman"/>
          <w:b/>
          <w:color w:val="212121"/>
          <w:sz w:val="24"/>
        </w:rPr>
        <w:t>• Biến quyết định (Decision Variables):</w:t>
      </w:r>
    </w:p>
    <w:p>
      <w:pPr>
        <w:spacing w:before="20" w:after="40" w:line="276" w:lineRule="auto"/>
        <w:ind w:left="648"/>
      </w:pPr>
      <w:r>
        <w:rPr>
          <w:rFonts w:ascii="Times New Roman" w:hAnsi="Times New Roman"/>
          <w:b/>
          <w:i/>
          <w:color w:val="212121"/>
          <w:sz w:val="23"/>
        </w:rPr>
        <w:t xml:space="preserve">- x_ij ∈ {0, 1}: </w:t>
      </w:r>
      <w:r>
        <w:rPr>
          <w:rFonts w:ascii="Times New Roman" w:hAnsi="Times New Roman"/>
          <w:color w:val="212121"/>
          <w:sz w:val="23"/>
        </w:rPr>
        <w:t>Biến nhị phân phân bổ, x_ij = 1 nếu đơn hàng i được phân bổ cho phương tiện j; x_ij = 0 nếu ngược lại.</w:t>
      </w:r>
    </w:p>
    <w:p>
      <w:pPr>
        <w:spacing w:before="20" w:after="40" w:line="276" w:lineRule="auto"/>
        <w:ind w:left="648"/>
      </w:pPr>
      <w:r>
        <w:rPr>
          <w:rFonts w:ascii="Times New Roman" w:hAnsi="Times New Roman"/>
          <w:b/>
          <w:i/>
          <w:color w:val="212121"/>
          <w:sz w:val="23"/>
        </w:rPr>
        <w:t xml:space="preserve">- y_j ∈ {0, 1}: </w:t>
      </w:r>
      <w:r>
        <w:rPr>
          <w:rFonts w:ascii="Times New Roman" w:hAnsi="Times New Roman"/>
          <w:color w:val="212121"/>
          <w:sz w:val="23"/>
        </w:rPr>
        <w:t>Biến nhị phân kích hoạt phương tiện, y_j = 1 nếu xe j được huy động lăn bánh; y_j = 0 nếu xe nằm bãi (tránh phát sinh chi phí mở xe cố định).</w:t>
      </w:r>
    </w:p>
    <w:p>
      <w:pPr>
        <w:spacing w:before="200" w:after="80"/>
      </w:pPr>
      <w:r>
        <w:rPr>
          <w:rFonts w:ascii="Times New Roman" w:hAnsi="Times New Roman"/>
          <w:b/>
          <w:color w:val="0D47A1"/>
          <w:sz w:val="26"/>
        </w:rPr>
        <w:t>2. Hàm Mục tiêu (Objective Function - Tối thiểu hóa Tổng chi phí Hệ thống)</w:t>
      </w:r>
    </w:p>
    <w:p>
      <w:pPr>
        <w:spacing w:before="0" w:after="80" w:line="288" w:lineRule="auto"/>
        <w:jc w:val="both"/>
      </w:pPr>
      <w:r>
        <w:rPr>
          <w:rFonts w:ascii="Times New Roman" w:hAnsi="Times New Roman"/>
          <w:color w:val="212121"/>
          <w:sz w:val="24"/>
        </w:rPr>
        <w:t>Hàm mục tiêu tìm kiếm phương án phân bổ sao cho tổng chi phí vận hành toàn mạng lưới đạt mức nhỏ nhất, bao gồm chi phí cố định mở xe, chi phí chạy rỗng tiếp cận và chi phí lăn bánh chính tuyến:</w:t>
      </w:r>
    </w:p>
    <w:p>
      <w:pPr>
        <w:spacing w:before="80" w:after="120"/>
        <w:jc w:val="center"/>
      </w:pPr>
      <m:oMathPara>
        <m:oMath>
          <m:sSub>
            <m:e>
              <m:r>
                <m:t>min</m:t>
              </m:r>
            </m:e>
            <m:sub>
              <m:r>
                <m:t>𝐱,𝐲</m:t>
              </m:r>
            </m:sub>
          </m:sSub>
          <m:r>
            <m:t>Z=</m:t>
          </m:r>
          <m:nary>
            <m:naryPr>
              <m:chr m:val="∑"/>
              <m:limLoc m:val="subSup"/>
              <m:grow m:val="1"/>
              <m:subHide m:val="off"/>
              <m:supHide m:val="on"/>
            </m:naryPr>
            <m:sub>
              <m:r>
                <m:t>j∈J</m:t>
              </m:r>
            </m:sub>
            <m:sup/>
            <m:e>
              <m:sSub>
                <m:e>
                  <m:r>
                    <m:rPr>
                      <m:nor/>
                    </m:rPr>
                    <m:t>FixedCost</m:t>
                  </m:r>
                </m:e>
                <m:sub>
                  <m:r>
                    <m:t>j</m:t>
                  </m:r>
                </m:sub>
              </m:sSub>
            </m:e>
          </m:nary>
          <m:r>
            <m:t>·</m:t>
          </m:r>
          <m:sSub>
            <m:e>
              <m:r>
                <m:t>y</m:t>
              </m:r>
            </m:e>
            <m:sub>
              <m:r>
                <m:t>j</m:t>
              </m:r>
            </m:sub>
          </m:sSub>
          <m:r>
            <m:t>+</m:t>
          </m:r>
          <m:nary>
            <m:naryPr>
              <m:chr m:val="∑"/>
              <m:limLoc m:val="subSup"/>
              <m:grow m:val="1"/>
              <m:subHide m:val="off"/>
              <m:supHide m:val="on"/>
            </m:naryPr>
            <m:sub>
              <m:r>
                <m:t>i∈I</m:t>
              </m:r>
            </m:sub>
            <m:sup/>
            <m:e>
              <m:nary>
                <m:naryPr>
                  <m:chr m:val="∑"/>
                  <m:limLoc m:val="subSup"/>
                  <m:grow m:val="1"/>
                  <m:subHide m:val="off"/>
                  <m:supHide m:val="on"/>
                </m:naryPr>
                <m:sub>
                  <m:r>
                    <m:t>j∈J</m:t>
                  </m:r>
                </m:sub>
                <m:sup/>
                <m:e>
                  <m:sSub>
                    <m:e>
                      <m:r>
                        <m:t>x</m:t>
                      </m:r>
                    </m:e>
                    <m:sub>
                      <m:r>
                        <m:t>ij</m:t>
                      </m:r>
                    </m:sub>
                  </m:sSub>
                </m:e>
              </m:nary>
            </m:e>
          </m:nary>
          <m:r>
            <m:t>·</m:t>
          </m:r>
          <m:d>
            <m:dPr>
              <m:sepChr m:val="+"/>
            </m:dPr>
            <m:e>
              <m:sSub>
                <m:e>
                  <m:r>
                    <m:rPr>
                      <m:nor/>
                    </m:rPr>
                    <m:t>DeadheadCost</m:t>
                  </m:r>
                </m:e>
                <m:sub>
                  <m:r>
                    <m:t>ji</m:t>
                  </m:r>
                </m:sub>
              </m:sSub>
            </m:e>
            <m:e>
              <m:sSub>
                <m:e>
                  <m:r>
                    <m:rPr>
                      <m:nor/>
                    </m:rPr>
                    <m:t>TransitCost</m:t>
                  </m:r>
                </m:e>
                <m:sub>
                  <m:r>
                    <m:t>ij</m:t>
                  </m:r>
                </m:sub>
              </m:sSub>
            </m:e>
          </m:d>
        </m:oMath>
      </m:oMathPara>
    </w:p>
    <w:p>
      <w:pPr>
        <w:spacing w:before="200" w:after="80"/>
      </w:pPr>
      <w:r>
        <w:rPr>
          <w:rFonts w:ascii="Times New Roman" w:hAnsi="Times New Roman"/>
          <w:b/>
          <w:color w:val="0D47A1"/>
          <w:sz w:val="26"/>
        </w:rPr>
        <w:t>3. Các Ràng buộc Kỹ thuật &amp; Nghiệp vụ Chuỗi lạnh (Subject to Constraints)</w:t>
      </w:r>
    </w:p>
    <w:p>
      <w:pPr>
        <w:spacing w:before="80" w:after="40" w:line="276" w:lineRule="auto"/>
      </w:pPr>
      <w:r>
        <w:rPr>
          <w:rFonts w:ascii="Times New Roman" w:hAnsi="Times New Roman"/>
          <w:b/>
          <w:color w:val="212121"/>
          <w:sz w:val="24"/>
        </w:rPr>
        <w:t xml:space="preserve">• Ràng buộc Phục vụ Đơn nhất (Assignment Constraint): </w:t>
      </w:r>
      <w:r>
        <w:rPr>
          <w:rFonts w:ascii="Times New Roman" w:hAnsi="Times New Roman"/>
          <w:color w:val="212121"/>
          <w:sz w:val="24"/>
        </w:rPr>
        <w:t>Đảm bảo 100% các lô hàng của HTX đều được vận chuyển và mỗi lô hàng chỉ do đúng một phương tiện tiếp nhận:</w:t>
      </w:r>
    </w:p>
    <w:p>
      <w:pPr>
        <w:spacing w:before="40" w:after="100"/>
        <w:jc w:val="center"/>
      </w:pPr>
      <m:oMathPara>
        <m:oMath>
          <m:nary>
            <m:naryPr>
              <m:chr m:val="∑"/>
              <m:limLoc m:val="subSup"/>
              <m:grow m:val="1"/>
              <m:subHide m:val="off"/>
              <m:supHide m:val="on"/>
            </m:naryPr>
            <m:sub>
              <m:r>
                <m:t>j∈J</m:t>
              </m:r>
            </m:sub>
            <m:sup/>
            <m:e>
              <m:sSub>
                <m:e>
                  <m:r>
                    <m:t>x</m:t>
                  </m:r>
                </m:e>
                <m:sub>
                  <m:r>
                    <m:t>ij</m:t>
                  </m:r>
                </m:sub>
              </m:sSub>
            </m:e>
          </m:nary>
          <m:r>
            <m:t>=1,</m:t>
          </m:r>
          <m:r>
            <m:t>∀i∈I</m:t>
          </m:r>
        </m:oMath>
      </m:oMathPara>
    </w:p>
    <w:p>
      <w:pPr>
        <w:spacing w:before="80" w:after="40" w:line="276" w:lineRule="auto"/>
      </w:pPr>
      <w:r>
        <w:rPr>
          <w:rFonts w:ascii="Times New Roman" w:hAnsi="Times New Roman"/>
          <w:b/>
          <w:color w:val="212121"/>
          <w:sz w:val="24"/>
        </w:rPr>
        <w:t xml:space="preserve">• Ràng buộc Tải trọng Hữu dụng &amp; Kích hoạt Phương tiện (Capacity &amp; Linking Constraint): </w:t>
      </w:r>
      <w:r>
        <w:rPr>
          <w:rFonts w:ascii="Times New Roman" w:hAnsi="Times New Roman"/>
          <w:color w:val="212121"/>
          <w:sz w:val="24"/>
        </w:rPr>
        <w:t>Tổng khối lượng hàng hóa của các đơn gán lên phương tiện j không được vượt quá tải trọng thiết kế cho phép, đồng thời ràng buộc xe j chỉ được chở hàng khi và chỉ khi xe đó đã được kích hoạt nổ máy (y_j = 1):</w:t>
      </w:r>
    </w:p>
    <w:p>
      <w:pPr>
        <w:spacing w:before="40" w:after="100"/>
        <w:jc w:val="center"/>
      </w:pPr>
      <m:oMathPara>
        <m:oMath>
          <m:nary>
            <m:naryPr>
              <m:chr m:val="∑"/>
              <m:limLoc m:val="subSup"/>
              <m:grow m:val="1"/>
              <m:subHide m:val="off"/>
              <m:supHide m:val="on"/>
            </m:naryPr>
            <m:sub>
              <m:r>
                <m:t>i∈I</m:t>
              </m:r>
            </m:sub>
            <m:sup/>
            <m:e>
              <m:sSub>
                <m:e>
                  <m:r>
                    <m:t>w</m:t>
                  </m:r>
                </m:e>
                <m:sub>
                  <m:r>
                    <m:t>i</m:t>
                  </m:r>
                </m:sub>
              </m:sSub>
            </m:e>
          </m:nary>
          <m:r>
            <m:t>·</m:t>
          </m:r>
          <m:sSub>
            <m:e>
              <m:r>
                <m:t>x</m:t>
              </m:r>
            </m:e>
            <m:sub>
              <m:r>
                <m:t>ij</m:t>
              </m:r>
            </m:sub>
          </m:sSub>
          <m:r>
            <m:t>≤</m:t>
          </m:r>
          <m:sSub>
            <m:e>
              <m:r>
                <m:t>C</m:t>
              </m:r>
            </m:e>
            <m:sub>
              <m:r>
                <m:t>j</m:t>
              </m:r>
            </m:sub>
          </m:sSub>
          <m:r>
            <m:t>·</m:t>
          </m:r>
          <m:sSub>
            <m:e>
              <m:r>
                <m:t>y</m:t>
              </m:r>
            </m:e>
            <m:sub>
              <m:r>
                <m:t>j</m:t>
              </m:r>
            </m:sub>
          </m:sSub>
          <m:r>
            <m:t>,</m:t>
          </m:r>
          <m:r>
            <m:t>∀j∈J</m:t>
          </m:r>
        </m:oMath>
      </m:oMathPara>
    </w:p>
    <w:p>
      <w:pPr>
        <w:spacing w:before="80" w:after="40" w:line="276" w:lineRule="auto"/>
      </w:pPr>
      <w:r>
        <w:rPr>
          <w:rFonts w:ascii="Times New Roman" w:hAnsi="Times New Roman"/>
          <w:b/>
          <w:color w:val="212121"/>
          <w:sz w:val="24"/>
        </w:rPr>
        <w:t xml:space="preserve">• Ràng buộc Tương thích Chuỗi lạnh &amp; Vệ sinh An toàn Thực phẩm (Compatibility Filter): </w:t>
      </w:r>
      <w:r>
        <w:rPr>
          <w:rFonts w:ascii="Times New Roman" w:hAnsi="Times New Roman"/>
          <w:color w:val="212121"/>
          <w:sz w:val="24"/>
        </w:rPr>
        <w:t>Tự động loại bỏ và gán x_ij = 0 đối với bất kỳ phương tiện j nào không thỏa mãn dải nhiệt độ bảo quản vải thiều (2°C – 4°C) hoặc xe vừa chở các mặt hàng kỵ mùi chưa qua tiêu độc khử trùng:</w:t>
      </w:r>
    </w:p>
    <w:p>
      <w:pPr>
        <w:spacing w:before="40" w:after="100"/>
        <w:jc w:val="center"/>
      </w:pPr>
      <m:oMathPara>
        <m:oMath>
          <m:sSub>
            <m:e>
              <m:r>
                <m:t>x</m:t>
              </m:r>
            </m:e>
            <m:sub>
              <m:r>
                <m:t>ij</m:t>
              </m:r>
            </m:sub>
          </m:sSub>
          <m:r>
            <m:t>=0,</m:t>
          </m:r>
          <m:r>
            <m:t>∀(i,j)∉</m:t>
          </m:r>
          <m:r>
            <m:rPr>
              <m:nor/>
            </m:rPr>
            <m:t>CompatibleSet</m:t>
          </m:r>
        </m:oMath>
      </m:oMathPara>
    </w:p>
    <w:p>
      <w:pPr>
        <w:spacing w:before="80" w:after="40"/>
      </w:pPr>
      <w:r>
        <w:rPr>
          <w:rFonts w:ascii="Times New Roman" w:hAnsi="Times New Roman"/>
          <w:b/>
          <w:color w:val="212121"/>
          <w:sz w:val="24"/>
        </w:rPr>
        <w:t>• Ràng buộc Miền giá trị Biến nhị phân (Binary Integrality):</w:t>
      </w:r>
    </w:p>
    <w:p>
      <w:pPr>
        <w:spacing w:before="40" w:after="120"/>
        <w:jc w:val="center"/>
      </w:pPr>
      <m:oMathPara>
        <m:oMath>
          <m:sSub>
            <m:e>
              <m:r>
                <m:t>x</m:t>
              </m:r>
            </m:e>
            <m:sub>
              <m:r>
                <m:t>ij</m:t>
              </m:r>
            </m:sub>
          </m:sSub>
          <m:r>
            <m:t>∈{0,1},</m:t>
          </m:r>
          <m:r>
            <m:t>∀i∈I,</m:t>
          </m:r>
          <m:r>
            <m:t>j∈J;</m:t>
          </m:r>
          <m:sSub>
            <m:e>
              <m:r>
                <m:t>y</m:t>
              </m:r>
            </m:e>
            <m:sub>
              <m:r>
                <m:t>j</m:t>
              </m:r>
            </m:sub>
          </m:sSub>
          <m:r>
            <m:t>∈{0,1},</m:t>
          </m:r>
          <m:r>
            <m:t>∀j∈J</m:t>
          </m:r>
        </m:oMath>
      </m:oMathPara>
    </w:p>
    <w:p>
      <w:pPr>
        <w:spacing w:before="160" w:after="80"/>
      </w:pPr>
      <w:r>
        <w:rPr>
          <w:rFonts w:ascii="Times New Roman" w:hAnsi="Times New Roman"/>
          <w:b/>
          <w:color w:val="0D47A1"/>
          <w:sz w:val="26"/>
        </w:rPr>
        <w:t>4. Cơ chế Thực thi Thuật toán (Algorithmic Execution)</w:t>
      </w:r>
    </w:p>
    <w:p>
      <w:pPr>
        <w:spacing w:before="0" w:after="200" w:line="288" w:lineRule="auto"/>
        <w:jc w:val="both"/>
      </w:pPr>
      <w:r>
        <w:rPr>
          <w:rFonts w:ascii="Times New Roman" w:hAnsi="Times New Roman"/>
          <w:color w:val="212121"/>
          <w:sz w:val="24"/>
        </w:rPr>
        <w:t>Mô hình MILP được lập trình tự động hóa bằng ngôn ngữ Python thông qua thư viện mô hình hóa toán học PuLP và giải nghiệm bằng bộ giải thuật toán nhánh và cận (Branch-and-Cut) công nghiệp CBC / Gurobi. Thời gian tính toán cho quy mô toàn bộ 15 Hợp tác xã huyện Lục Ngạn và 50 phương tiện vận tải dao động dưới 1.8 giây, cho phép nền tảng tự động tái điều phối tức thời (Dynamic Dispatching) khi có biến động hủy đơn hoặc thời tiết mưa dông bất thường.</w:t>
      </w:r>
    </w:p>
    <w:p>
      <w:pPr>
        <w:spacing w:before="120" w:after="80"/>
      </w:pPr>
      <w:r>
        <w:rPr>
          <w:rFonts w:ascii="Times New Roman" w:hAnsi="Times New Roman"/>
          <w:b/>
          <w:color w:val="1565C0"/>
          <w:sz w:val="23"/>
        </w:rPr>
        <w:t>Bảng 4.2. Định mức Tham số Kỹ thuật &amp; Kinh tế trong Mô hình Điều phối MILP</w:t>
      </w:r>
    </w:p>
    <w:tbl>
      <w:tblPr>
        <w:tblW w:type="auto" w:w="0"/>
        <w:jc w:val="center"/>
        <w:tblLayout w:type="fixed"/>
        <w:tblLook w:firstColumn="1" w:firstRow="1" w:lastColumn="0" w:lastRow="0" w:noHBand="0" w:noVBand="1" w:val="04A0"/>
        <w:tblBorders>
          <w:top w:val="single" w:sz="6" w:space="0" w:color="1565C0"/>
          <w:bottom w:val="single" w:sz="6" w:space="0" w:color="1565C0"/>
          <w:left w:val="none"/>
          <w:right w:val="none"/>
          <w:insideH w:val="single" w:sz="4" w:space="0" w:color="E0E0E0"/>
          <w:insideV w:val="none"/>
        </w:tblBorders>
      </w:tblPr>
      <w:tblGrid>
        <w:gridCol w:w="3010"/>
        <w:gridCol w:w="3010"/>
        <w:gridCol w:w="3010"/>
      </w:tblGrid>
      <w:tr>
        <w:trPr>
          <w:cantSplit/>
          <w:tblHeader/>
        </w:trPr>
        <w:tc>
          <w:tcPr>
            <w:tcW w:type="dxa" w:w="2592"/>
            <w:shd w:fill="1565C0"/>
            <w:tcMar>
              <w:top w:w="70" w:type="dxa"/>
              <w:bottom w:w="70" w:type="dxa"/>
              <w:left w:w="70" w:type="dxa"/>
              <w:right w:w="70" w:type="dxa"/>
            </w:tcMar>
          </w:tcPr>
          <w:p>
            <w:pPr>
              <w:spacing w:before="80" w:after="80"/>
              <w:jc w:val="left"/>
            </w:pPr>
            <w:r>
              <w:rPr>
                <w:rFonts w:ascii="Times New Roman" w:hAnsi="Times New Roman"/>
                <w:b/>
                <w:color w:val="FFFFFF"/>
                <w:sz w:val="21"/>
              </w:rPr>
              <w:t>Ký hiệu / Tham số</w:t>
            </w:r>
          </w:p>
        </w:tc>
        <w:tc>
          <w:tcPr>
            <w:tcW w:type="dxa" w:w="2160"/>
            <w:shd w:fill="1565C0"/>
            <w:tcMar>
              <w:top w:w="70" w:type="dxa"/>
              <w:bottom w:w="70" w:type="dxa"/>
              <w:left w:w="70" w:type="dxa"/>
              <w:right w:w="70" w:type="dxa"/>
            </w:tcMar>
          </w:tcPr>
          <w:p>
            <w:pPr>
              <w:spacing w:before="80" w:after="80"/>
              <w:jc w:val="center"/>
            </w:pPr>
            <w:r>
              <w:rPr>
                <w:rFonts w:ascii="Times New Roman" w:hAnsi="Times New Roman"/>
                <w:b/>
                <w:color w:val="FFFFFF"/>
                <w:sz w:val="21"/>
              </w:rPr>
              <w:t>Định mức Thực tế</w:t>
            </w:r>
          </w:p>
        </w:tc>
        <w:tc>
          <w:tcPr>
            <w:tcW w:type="dxa" w:w="4277"/>
            <w:shd w:fill="1565C0"/>
            <w:tcMar>
              <w:top w:w="70" w:type="dxa"/>
              <w:bottom w:w="70" w:type="dxa"/>
              <w:left w:w="70" w:type="dxa"/>
              <w:right w:w="70" w:type="dxa"/>
            </w:tcMar>
          </w:tcPr>
          <w:p>
            <w:pPr>
              <w:spacing w:before="80" w:after="80"/>
              <w:jc w:val="left"/>
            </w:pPr>
            <w:r>
              <w:rPr>
                <w:rFonts w:ascii="Times New Roman" w:hAnsi="Times New Roman"/>
                <w:b/>
                <w:color w:val="FFFFFF"/>
                <w:sz w:val="21"/>
              </w:rPr>
              <w:t>Ý nghĩa Vận hành Chuỗi lạnh</w:t>
            </w:r>
          </w:p>
        </w:tc>
      </w:tr>
      <w:tr>
        <w:trPr>
          <w:cantSplit/>
        </w:trPr>
        <w:tc>
          <w:tcPr>
            <w:tcW w:type="dxa" w:w="2592"/>
            <w:shd w:fill="F8F9FA"/>
            <w:tcMar>
              <w:top w:w="50" w:type="dxa"/>
              <w:bottom w:w="50" w:type="dxa"/>
              <w:left w:w="70" w:type="dxa"/>
              <w:right w:w="70" w:type="dxa"/>
            </w:tcMar>
          </w:tcPr>
          <w:p>
            <w:pPr>
              <w:spacing w:before="60" w:after="60"/>
              <w:jc w:val="left"/>
            </w:pPr>
            <w:r>
              <w:rPr>
                <w:rFonts w:ascii="Times New Roman" w:hAnsi="Times New Roman"/>
                <w:b/>
                <w:color w:val="212121"/>
                <w:sz w:val="20"/>
              </w:rPr>
              <w:t>C_eff, Cont40</w:t>
            </w:r>
          </w:p>
        </w:tc>
        <w:tc>
          <w:tcPr>
            <w:tcW w:type="dxa" w:w="2160"/>
            <w:shd w:fill="F8F9FA"/>
            <w:tcMar>
              <w:top w:w="50" w:type="dxa"/>
              <w:bottom w:w="50" w:type="dxa"/>
              <w:left w:w="70" w:type="dxa"/>
              <w:right w:w="70" w:type="dxa"/>
            </w:tcMar>
          </w:tcPr>
          <w:p>
            <w:pPr>
              <w:spacing w:before="60" w:after="60"/>
              <w:jc w:val="center"/>
            </w:pPr>
            <w:r>
              <w:rPr>
                <w:rFonts w:ascii="Consolas" w:hAnsi="Consolas"/>
                <w:color w:val="212121"/>
                <w:sz w:val="19"/>
              </w:rPr>
              <w:t>17.28 Tấn/cont</w:t>
            </w:r>
          </w:p>
        </w:tc>
        <w:tc>
          <w:tcPr>
            <w:tcW w:type="dxa" w:w="4277"/>
            <w:shd w:fill="F8F9FA"/>
            <w:tcMar>
              <w:top w:w="50" w:type="dxa"/>
              <w:bottom w:w="50" w:type="dxa"/>
              <w:left w:w="70" w:type="dxa"/>
              <w:right w:w="70" w:type="dxa"/>
            </w:tcMar>
          </w:tcPr>
          <w:p>
            <w:pPr>
              <w:spacing w:before="60" w:after="60"/>
              <w:jc w:val="left"/>
            </w:pPr>
            <w:r>
              <w:rPr>
                <w:rFonts w:ascii="Times New Roman" w:hAnsi="Times New Roman"/>
                <w:color w:val="212121"/>
                <w:sz w:val="20"/>
              </w:rPr>
              <w:t>Tải trọng hữu dụng Container lạnh 40 feet (18.0 tấn × 0.96 chừa 4% lưu thông khí lạnh 2°C - 4°C).</w:t>
            </w:r>
          </w:p>
        </w:tc>
      </w:tr>
      <w:tr>
        <w:trPr>
          <w:cantSplit/>
        </w:trPr>
        <w:tc>
          <w:tcPr>
            <w:tcW w:type="dxa" w:w="2592"/>
            <w:shd w:fill="FFFFFF"/>
            <w:tcMar>
              <w:top w:w="50" w:type="dxa"/>
              <w:bottom w:w="50" w:type="dxa"/>
              <w:left w:w="70" w:type="dxa"/>
              <w:right w:w="70" w:type="dxa"/>
            </w:tcMar>
          </w:tcPr>
          <w:p>
            <w:pPr>
              <w:spacing w:before="60" w:after="60"/>
              <w:jc w:val="left"/>
            </w:pPr>
            <w:r>
              <w:rPr>
                <w:rFonts w:ascii="Times New Roman" w:hAnsi="Times New Roman"/>
                <w:b/>
                <w:color w:val="212121"/>
                <w:sz w:val="20"/>
              </w:rPr>
              <w:t>C_eff, Truck5</w:t>
            </w:r>
          </w:p>
        </w:tc>
        <w:tc>
          <w:tcPr>
            <w:tcW w:type="dxa" w:w="2160"/>
            <w:shd w:fill="FFFFFF"/>
            <w:tcMar>
              <w:top w:w="50" w:type="dxa"/>
              <w:bottom w:w="50" w:type="dxa"/>
              <w:left w:w="70" w:type="dxa"/>
              <w:right w:w="70" w:type="dxa"/>
            </w:tcMar>
          </w:tcPr>
          <w:p>
            <w:pPr>
              <w:spacing w:before="60" w:after="60"/>
              <w:jc w:val="center"/>
            </w:pPr>
            <w:r>
              <w:rPr>
                <w:rFonts w:ascii="Consolas" w:hAnsi="Consolas"/>
                <w:color w:val="212121"/>
                <w:sz w:val="19"/>
              </w:rPr>
              <w:t>4.80 Tấn/xe</w:t>
            </w:r>
          </w:p>
        </w:tc>
        <w:tc>
          <w:tcPr>
            <w:tcW w:type="dxa" w:w="4277"/>
            <w:shd w:fill="FFFFFF"/>
            <w:tcMar>
              <w:top w:w="50" w:type="dxa"/>
              <w:bottom w:w="50" w:type="dxa"/>
              <w:left w:w="70" w:type="dxa"/>
              <w:right w:w="70" w:type="dxa"/>
            </w:tcMar>
          </w:tcPr>
          <w:p>
            <w:pPr>
              <w:spacing w:before="60" w:after="60"/>
              <w:jc w:val="left"/>
            </w:pPr>
            <w:r>
              <w:rPr>
                <w:rFonts w:ascii="Times New Roman" w:hAnsi="Times New Roman"/>
                <w:color w:val="212121"/>
                <w:sz w:val="20"/>
              </w:rPr>
              <w:t>Tải trọng hữu dụng Xe tải lạnh 5 tấn (5.0 tấn × 0.96 giải tỏa các lô hàng lẻ LTL).</w:t>
            </w:r>
          </w:p>
        </w:tc>
      </w:tr>
      <w:tr>
        <w:trPr>
          <w:cantSplit/>
        </w:trPr>
        <w:tc>
          <w:tcPr>
            <w:tcW w:type="dxa" w:w="2592"/>
            <w:shd w:fill="F8F9FA"/>
            <w:tcMar>
              <w:top w:w="50" w:type="dxa"/>
              <w:bottom w:w="50" w:type="dxa"/>
              <w:left w:w="70" w:type="dxa"/>
              <w:right w:w="70" w:type="dxa"/>
            </w:tcMar>
          </w:tcPr>
          <w:p>
            <w:pPr>
              <w:spacing w:before="60" w:after="60"/>
              <w:jc w:val="left"/>
            </w:pPr>
            <w:r>
              <w:rPr>
                <w:rFonts w:ascii="Times New Roman" w:hAnsi="Times New Roman"/>
                <w:b/>
                <w:color w:val="212121"/>
                <w:sz w:val="20"/>
              </w:rPr>
              <w:t>FixedCost_j (Cont 40ft)</w:t>
            </w:r>
          </w:p>
        </w:tc>
        <w:tc>
          <w:tcPr>
            <w:tcW w:type="dxa" w:w="2160"/>
            <w:shd w:fill="F8F9FA"/>
            <w:tcMar>
              <w:top w:w="50" w:type="dxa"/>
              <w:bottom w:w="50" w:type="dxa"/>
              <w:left w:w="70" w:type="dxa"/>
              <w:right w:w="70" w:type="dxa"/>
            </w:tcMar>
          </w:tcPr>
          <w:p>
            <w:pPr>
              <w:spacing w:before="60" w:after="60"/>
              <w:jc w:val="center"/>
            </w:pPr>
            <w:r>
              <w:rPr>
                <w:rFonts w:ascii="Consolas" w:hAnsi="Consolas"/>
                <w:color w:val="212121"/>
                <w:sz w:val="19"/>
              </w:rPr>
              <w:t>9.000.000 VNĐ/xe</w:t>
            </w:r>
          </w:p>
        </w:tc>
        <w:tc>
          <w:tcPr>
            <w:tcW w:type="dxa" w:w="4277"/>
            <w:shd w:fill="F8F9FA"/>
            <w:tcMar>
              <w:top w:w="50" w:type="dxa"/>
              <w:bottom w:w="50" w:type="dxa"/>
              <w:left w:w="70" w:type="dxa"/>
              <w:right w:w="70" w:type="dxa"/>
            </w:tcMar>
          </w:tcPr>
          <w:p>
            <w:pPr>
              <w:spacing w:before="60" w:after="60"/>
              <w:jc w:val="left"/>
            </w:pPr>
            <w:r>
              <w:rPr>
                <w:rFonts w:ascii="Times New Roman" w:hAnsi="Times New Roman"/>
                <w:color w:val="212121"/>
                <w:sz w:val="20"/>
              </w:rPr>
              <w:t>Giá cước cơ sở điều động Cont 40ft tuyến Lục Ngạn - Cửa khẩu Tân Thanh (Lạng Sơn).</w:t>
            </w:r>
          </w:p>
        </w:tc>
      </w:tr>
      <w:tr>
        <w:trPr>
          <w:cantSplit/>
        </w:trPr>
        <w:tc>
          <w:tcPr>
            <w:tcW w:type="dxa" w:w="2592"/>
            <w:shd w:fill="FFFFFF"/>
            <w:tcMar>
              <w:top w:w="50" w:type="dxa"/>
              <w:bottom w:w="50" w:type="dxa"/>
              <w:left w:w="70" w:type="dxa"/>
              <w:right w:w="70" w:type="dxa"/>
            </w:tcMar>
          </w:tcPr>
          <w:p>
            <w:pPr>
              <w:spacing w:before="60" w:after="60"/>
              <w:jc w:val="left"/>
            </w:pPr>
            <w:r>
              <w:rPr>
                <w:rFonts w:ascii="Times New Roman" w:hAnsi="Times New Roman"/>
                <w:b/>
                <w:color w:val="212121"/>
                <w:sz w:val="20"/>
              </w:rPr>
              <w:t>FixedCost_j (Xe 5T)</w:t>
            </w:r>
          </w:p>
        </w:tc>
        <w:tc>
          <w:tcPr>
            <w:tcW w:type="dxa" w:w="2160"/>
            <w:shd w:fill="FFFFFF"/>
            <w:tcMar>
              <w:top w:w="50" w:type="dxa"/>
              <w:bottom w:w="50" w:type="dxa"/>
              <w:left w:w="70" w:type="dxa"/>
              <w:right w:w="70" w:type="dxa"/>
            </w:tcMar>
          </w:tcPr>
          <w:p>
            <w:pPr>
              <w:spacing w:before="60" w:after="60"/>
              <w:jc w:val="center"/>
            </w:pPr>
            <w:r>
              <w:rPr>
                <w:rFonts w:ascii="Consolas" w:hAnsi="Consolas"/>
                <w:color w:val="212121"/>
                <w:sz w:val="19"/>
              </w:rPr>
              <w:t>3.500.000 VNĐ/xe</w:t>
            </w:r>
          </w:p>
        </w:tc>
        <w:tc>
          <w:tcPr>
            <w:tcW w:type="dxa" w:w="4277"/>
            <w:shd w:fill="FFFFFF"/>
            <w:tcMar>
              <w:top w:w="50" w:type="dxa"/>
              <w:bottom w:w="50" w:type="dxa"/>
              <w:left w:w="70" w:type="dxa"/>
              <w:right w:w="70" w:type="dxa"/>
            </w:tcMar>
          </w:tcPr>
          <w:p>
            <w:pPr>
              <w:spacing w:before="60" w:after="60"/>
              <w:jc w:val="left"/>
            </w:pPr>
            <w:r>
              <w:rPr>
                <w:rFonts w:ascii="Times New Roman" w:hAnsi="Times New Roman"/>
                <w:color w:val="212121"/>
                <w:sz w:val="20"/>
              </w:rPr>
              <w:t>Giá cước cơ sở điều động xe tải lạnh 5T chạy tuyến gom nội tỉnh Bắc Giang.</w:t>
            </w:r>
          </w:p>
        </w:tc>
      </w:tr>
      <w:tr>
        <w:trPr>
          <w:cantSplit/>
        </w:trPr>
        <w:tc>
          <w:tcPr>
            <w:tcW w:type="dxa" w:w="2592"/>
            <w:shd w:fill="F8F9FA"/>
            <w:tcMar>
              <w:top w:w="50" w:type="dxa"/>
              <w:bottom w:w="50" w:type="dxa"/>
              <w:left w:w="70" w:type="dxa"/>
              <w:right w:w="70" w:type="dxa"/>
            </w:tcMar>
          </w:tcPr>
          <w:p>
            <w:pPr>
              <w:spacing w:before="60" w:after="60"/>
              <w:jc w:val="left"/>
            </w:pPr>
            <w:r>
              <w:rPr>
                <w:rFonts w:ascii="Times New Roman" w:hAnsi="Times New Roman"/>
                <w:b/>
                <w:color w:val="212121"/>
                <w:sz w:val="20"/>
              </w:rPr>
              <w:t>DeadheadCost_ji</w:t>
            </w:r>
          </w:p>
        </w:tc>
        <w:tc>
          <w:tcPr>
            <w:tcW w:type="dxa" w:w="2160"/>
            <w:shd w:fill="F8F9FA"/>
            <w:tcMar>
              <w:top w:w="50" w:type="dxa"/>
              <w:bottom w:w="50" w:type="dxa"/>
              <w:left w:w="70" w:type="dxa"/>
              <w:right w:w="70" w:type="dxa"/>
            </w:tcMar>
          </w:tcPr>
          <w:p>
            <w:pPr>
              <w:spacing w:before="60" w:after="60"/>
              <w:jc w:val="center"/>
            </w:pPr>
            <w:r>
              <w:rPr>
                <w:rFonts w:ascii="Consolas" w:hAnsi="Consolas"/>
                <w:color w:val="212121"/>
                <w:sz w:val="19"/>
              </w:rPr>
              <w:t>18.000 VNĐ/km rỗng</w:t>
            </w:r>
          </w:p>
        </w:tc>
        <w:tc>
          <w:tcPr>
            <w:tcW w:type="dxa" w:w="4277"/>
            <w:shd w:fill="F8F9FA"/>
            <w:tcMar>
              <w:top w:w="50" w:type="dxa"/>
              <w:bottom w:w="50" w:type="dxa"/>
              <w:left w:w="70" w:type="dxa"/>
              <w:right w:w="70" w:type="dxa"/>
            </w:tcMar>
          </w:tcPr>
          <w:p>
            <w:pPr>
              <w:spacing w:before="60" w:after="60"/>
              <w:jc w:val="left"/>
            </w:pPr>
            <w:r>
              <w:rPr>
                <w:rFonts w:ascii="Times New Roman" w:hAnsi="Times New Roman"/>
                <w:color w:val="212121"/>
                <w:sz w:val="20"/>
              </w:rPr>
              <w:t>Định mức chi phí dầu Diesel và hao mòn khi xe lạnh chạy rỗng đến điểm nhận hàng.</w:t>
            </w:r>
          </w:p>
        </w:tc>
      </w:tr>
      <w:tr>
        <w:trPr>
          <w:cantSplit/>
        </w:trPr>
        <w:tc>
          <w:tcPr>
            <w:tcW w:type="dxa" w:w="2592"/>
            <w:shd w:fill="FFFFFF"/>
            <w:tcMar>
              <w:top w:w="50" w:type="dxa"/>
              <w:bottom w:w="50" w:type="dxa"/>
              <w:left w:w="70" w:type="dxa"/>
              <w:right w:w="70" w:type="dxa"/>
            </w:tcMar>
          </w:tcPr>
          <w:p>
            <w:pPr>
              <w:spacing w:before="60" w:after="60"/>
              <w:jc w:val="left"/>
            </w:pPr>
            <w:r>
              <w:rPr>
                <w:rFonts w:ascii="Times New Roman" w:hAnsi="Times New Roman"/>
                <w:b/>
                <w:color w:val="212121"/>
                <w:sz w:val="20"/>
              </w:rPr>
              <w:t>Dải nhiệt độ bảo quản</w:t>
            </w:r>
          </w:p>
        </w:tc>
        <w:tc>
          <w:tcPr>
            <w:tcW w:type="dxa" w:w="2160"/>
            <w:shd w:fill="FFFFFF"/>
            <w:tcMar>
              <w:top w:w="50" w:type="dxa"/>
              <w:bottom w:w="50" w:type="dxa"/>
              <w:left w:w="70" w:type="dxa"/>
              <w:right w:w="70" w:type="dxa"/>
            </w:tcMar>
          </w:tcPr>
          <w:p>
            <w:pPr>
              <w:spacing w:before="60" w:after="60"/>
              <w:jc w:val="center"/>
            </w:pPr>
            <w:r>
              <w:rPr>
                <w:rFonts w:ascii="Consolas" w:hAnsi="Consolas"/>
                <w:color w:val="212121"/>
                <w:sz w:val="19"/>
              </w:rPr>
              <w:t>2°C – 4°C</w:t>
            </w:r>
          </w:p>
        </w:tc>
        <w:tc>
          <w:tcPr>
            <w:tcW w:type="dxa" w:w="4277"/>
            <w:shd w:fill="FFFFFF"/>
            <w:tcMar>
              <w:top w:w="50" w:type="dxa"/>
              <w:bottom w:w="50" w:type="dxa"/>
              <w:left w:w="70" w:type="dxa"/>
              <w:right w:w="70" w:type="dxa"/>
            </w:tcMar>
          </w:tcPr>
          <w:p>
            <w:pPr>
              <w:spacing w:before="60" w:after="60"/>
              <w:jc w:val="left"/>
            </w:pPr>
            <w:r>
              <w:rPr>
                <w:rFonts w:ascii="Times New Roman" w:hAnsi="Times New Roman"/>
                <w:color w:val="212121"/>
                <w:sz w:val="20"/>
              </w:rPr>
              <w:t>Ràng buộc bắt buộc của Bộ lọc tương thích để tránh quả vải bị rụng cuống và thối mốc.</w:t>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